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rPr>
      </w:pPr>
      <w:r>
        <w:rPr>
          <w:rFonts w:hint="eastAsia" w:ascii="黑体" w:hAnsi="黑体" w:eastAsia="黑体" w:cs="黑体"/>
          <w:sz w:val="44"/>
          <w:szCs w:val="44"/>
        </w:rPr>
        <w:t>广州番禺职业技术学院</w:t>
      </w:r>
    </w:p>
    <w:p>
      <w:pPr>
        <w:jc w:val="center"/>
        <w:rPr>
          <w:rFonts w:hint="eastAsia"/>
        </w:rPr>
      </w:pPr>
      <w:r>
        <w:rPr>
          <w:rFonts w:hint="eastAsia" w:ascii="黑体" w:hAnsi="黑体" w:eastAsia="黑体" w:cs="黑体"/>
          <w:sz w:val="44"/>
          <w:szCs w:val="44"/>
        </w:rPr>
        <w:t>202</w:t>
      </w:r>
      <w:r>
        <w:rPr>
          <w:rFonts w:hint="eastAsia" w:ascii="黑体" w:hAnsi="黑体" w:eastAsia="黑体" w:cs="黑体"/>
          <w:sz w:val="44"/>
          <w:szCs w:val="44"/>
          <w:lang w:val="en-US" w:eastAsia="zh-CN"/>
        </w:rPr>
        <w:t>4</w:t>
      </w:r>
      <w:r>
        <w:rPr>
          <w:rFonts w:hint="eastAsia" w:ascii="黑体" w:hAnsi="黑体" w:eastAsia="黑体" w:cs="黑体"/>
          <w:sz w:val="44"/>
          <w:szCs w:val="44"/>
        </w:rPr>
        <w:t>-202</w:t>
      </w:r>
      <w:r>
        <w:rPr>
          <w:rFonts w:hint="eastAsia" w:ascii="黑体" w:hAnsi="黑体" w:eastAsia="黑体" w:cs="黑体"/>
          <w:sz w:val="44"/>
          <w:szCs w:val="44"/>
          <w:lang w:val="en-US" w:eastAsia="zh-CN"/>
        </w:rPr>
        <w:t>5</w:t>
      </w:r>
      <w:bookmarkStart w:id="0" w:name="_GoBack"/>
      <w:bookmarkEnd w:id="0"/>
      <w:r>
        <w:rPr>
          <w:rFonts w:hint="eastAsia" w:ascii="黑体" w:hAnsi="黑体" w:eastAsia="黑体" w:cs="黑体"/>
          <w:sz w:val="44"/>
          <w:szCs w:val="44"/>
        </w:rPr>
        <w:t>学年实习工作方案</w:t>
      </w:r>
    </w:p>
    <w:p>
      <w:pPr>
        <w:rPr>
          <w:rFonts w:hint="eastAsia"/>
        </w:rPr>
      </w:pP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为贯彻落实教育部等八部门</w:t>
      </w:r>
      <w:r>
        <w:rPr>
          <w:rFonts w:hint="eastAsia" w:ascii="仿宋_GB2312" w:hAnsi="仿宋_GB2312" w:eastAsia="仿宋_GB2312" w:cs="仿宋_GB2312"/>
          <w:sz w:val="28"/>
          <w:szCs w:val="28"/>
          <w:lang w:val="en-US" w:eastAsia="zh-CN"/>
        </w:rPr>
        <w:t>印发的</w:t>
      </w:r>
      <w:r>
        <w:rPr>
          <w:rFonts w:hint="eastAsia" w:ascii="仿宋_GB2312" w:hAnsi="仿宋_GB2312" w:eastAsia="仿宋_GB2312" w:cs="仿宋_GB2312"/>
          <w:sz w:val="28"/>
          <w:szCs w:val="28"/>
        </w:rPr>
        <w:t>《职业学校学生实习管理规定》（教职成〔2021〕4号</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以下简称《规定》</w:t>
      </w:r>
      <w:r>
        <w:rPr>
          <w:rFonts w:hint="eastAsia" w:ascii="仿宋_GB2312" w:hAnsi="仿宋_GB2312" w:eastAsia="仿宋_GB2312" w:cs="仿宋_GB2312"/>
          <w:sz w:val="28"/>
          <w:szCs w:val="28"/>
        </w:rPr>
        <w:t>）文件精神，规范和加强我校学生实习组织和管理工作，确保学生实习的质量和效果，根据《广州番禺职业技术学院实习管理办法（修订）》和《广州番禺职业技术学院学生校外实习安全事件应急预案（修订)》，结合学校实际情况，特制定本学年的实习工作方案。</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一、组织机构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val="en-US" w:eastAsia="zh-CN"/>
        </w:rPr>
        <w:t>学校成立岗位实习工作领导小组，负责岗位实习工作的部署安排、整体推进、保障投入、综合协调，研究解决管理过程中的重大问题。教务处负责全校岗位实习工作统一协调及部署工作。</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val="en-US" w:eastAsia="zh-CN"/>
        </w:rPr>
        <w:t>各二级学院成立</w:t>
      </w:r>
      <w:r>
        <w:rPr>
          <w:rFonts w:hint="eastAsia" w:ascii="仿宋_GB2312" w:hAnsi="仿宋_GB2312" w:eastAsia="仿宋_GB2312" w:cs="仿宋_GB2312"/>
          <w:sz w:val="28"/>
          <w:szCs w:val="28"/>
          <w:lang w:val="en-US" w:eastAsia="zh-CN"/>
        </w:rPr>
        <w:t>学生</w:t>
      </w:r>
      <w:r>
        <w:rPr>
          <w:rFonts w:hint="default" w:ascii="仿宋_GB2312" w:hAnsi="仿宋_GB2312" w:eastAsia="仿宋_GB2312" w:cs="仿宋_GB2312"/>
          <w:sz w:val="28"/>
          <w:szCs w:val="28"/>
          <w:lang w:val="en-US" w:eastAsia="zh-CN"/>
        </w:rPr>
        <w:t>岗位实习领导小组，负责统筹管理各专业的岗位实习。各专业成立本专业岗位实习指导小组，进行具体的安排并组织实施。</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二</w:t>
      </w: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总体要求</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一</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提高思想认识</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准确把握实习本质</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实习是职业学校教育教学的重要环节，是培养学生职业素养和锻炼实践技能的必要途径。</w:t>
      </w:r>
      <w:r>
        <w:rPr>
          <w:rFonts w:hint="eastAsia" w:ascii="仿宋_GB2312" w:hAnsi="仿宋_GB2312" w:eastAsia="仿宋_GB2312" w:cs="仿宋_GB2312"/>
          <w:sz w:val="28"/>
          <w:szCs w:val="28"/>
        </w:rPr>
        <w:t>各二级学院</w:t>
      </w:r>
      <w:r>
        <w:rPr>
          <w:rFonts w:hint="eastAsia" w:ascii="仿宋_GB2312" w:hAnsi="仿宋_GB2312" w:eastAsia="仿宋_GB2312" w:cs="仿宋_GB2312"/>
          <w:sz w:val="28"/>
          <w:szCs w:val="28"/>
          <w:lang w:val="en-US" w:eastAsia="zh-CN"/>
        </w:rPr>
        <w:t>各专业</w:t>
      </w:r>
      <w:r>
        <w:rPr>
          <w:rFonts w:hint="eastAsia" w:ascii="仿宋_GB2312" w:hAnsi="仿宋_GB2312" w:eastAsia="仿宋_GB2312" w:cs="仿宋_GB2312"/>
          <w:sz w:val="28"/>
          <w:szCs w:val="28"/>
        </w:rPr>
        <w:t>要进一步提高</w:t>
      </w:r>
      <w:r>
        <w:rPr>
          <w:rFonts w:hint="eastAsia" w:ascii="仿宋_GB2312" w:hAnsi="仿宋_GB2312" w:eastAsia="仿宋_GB2312" w:cs="仿宋_GB2312"/>
          <w:sz w:val="28"/>
          <w:szCs w:val="28"/>
          <w:lang w:val="en-US" w:eastAsia="zh-CN"/>
        </w:rPr>
        <w:t>政治</w:t>
      </w:r>
      <w:r>
        <w:rPr>
          <w:rFonts w:hint="eastAsia" w:ascii="仿宋_GB2312" w:hAnsi="仿宋_GB2312" w:eastAsia="仿宋_GB2312" w:cs="仿宋_GB2312"/>
          <w:sz w:val="28"/>
          <w:szCs w:val="28"/>
        </w:rPr>
        <w:t>站位，</w:t>
      </w:r>
      <w:r>
        <w:rPr>
          <w:rFonts w:hint="eastAsia" w:ascii="仿宋_GB2312" w:hAnsi="仿宋_GB2312" w:eastAsia="仿宋_GB2312" w:cs="仿宋_GB2312"/>
          <w:sz w:val="28"/>
          <w:szCs w:val="28"/>
          <w:lang w:val="en-US" w:eastAsia="zh-CN"/>
        </w:rPr>
        <w:t>坚守实习育人初心，遵循技术技能人才成长规律和职业能力形成规律，通过真实岗位实践提升学生技能，锤炼学生意志品质；要主动适应前沿技术发展新趋势，深化校企合作，统筹建好、用好产教深度融合的实习实践教学资源；要准确把握实习本质，切实把实习作为实践教学的重要内容落实到位。</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kern w:val="2"/>
          <w:sz w:val="28"/>
          <w:szCs w:val="28"/>
          <w:lang w:val="en-US" w:eastAsia="zh-CN" w:bidi="ar-SA"/>
        </w:rPr>
        <w:t>（二）</w:t>
      </w:r>
      <w:r>
        <w:rPr>
          <w:rFonts w:hint="eastAsia" w:ascii="仿宋_GB2312" w:hAnsi="仿宋_GB2312" w:eastAsia="仿宋_GB2312" w:cs="仿宋_GB2312"/>
          <w:b/>
          <w:bCs/>
          <w:sz w:val="28"/>
          <w:szCs w:val="28"/>
        </w:rPr>
        <w:t>严守</w:t>
      </w:r>
      <w:r>
        <w:rPr>
          <w:rFonts w:hint="eastAsia" w:ascii="仿宋_GB2312" w:hAnsi="仿宋_GB2312" w:eastAsia="仿宋_GB2312" w:cs="仿宋_GB2312"/>
          <w:b/>
          <w:bCs/>
          <w:sz w:val="28"/>
          <w:szCs w:val="28"/>
          <w:lang w:val="en-US" w:eastAsia="zh-CN"/>
        </w:rPr>
        <w:t>实习基本规范和</w:t>
      </w:r>
      <w:r>
        <w:rPr>
          <w:rFonts w:hint="eastAsia" w:ascii="仿宋_GB2312" w:hAnsi="仿宋_GB2312" w:eastAsia="仿宋_GB2312" w:cs="仿宋_GB2312"/>
          <w:b/>
          <w:bCs/>
          <w:sz w:val="28"/>
          <w:szCs w:val="28"/>
        </w:rPr>
        <w:t>底线红线</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各二级学院</w:t>
      </w:r>
      <w:r>
        <w:rPr>
          <w:rFonts w:hint="eastAsia" w:ascii="仿宋_GB2312" w:hAnsi="仿宋_GB2312" w:eastAsia="仿宋_GB2312" w:cs="仿宋_GB2312"/>
          <w:sz w:val="28"/>
          <w:szCs w:val="28"/>
          <w:lang w:val="en-US" w:eastAsia="zh-CN"/>
        </w:rPr>
        <w:t>要根据《规定》、</w:t>
      </w:r>
      <w:r>
        <w:rPr>
          <w:rFonts w:hint="eastAsia" w:ascii="仿宋_GB2312" w:hAnsi="仿宋_GB2312" w:eastAsia="仿宋_GB2312" w:cs="仿宋_GB2312"/>
          <w:sz w:val="28"/>
          <w:szCs w:val="28"/>
        </w:rPr>
        <w:t>《广州番禺职业技术学院实习管理办法（修订）》</w:t>
      </w:r>
      <w:r>
        <w:rPr>
          <w:rFonts w:hint="eastAsia" w:ascii="仿宋_GB2312" w:hAnsi="仿宋_GB2312" w:eastAsia="仿宋_GB2312" w:cs="仿宋_GB2312"/>
          <w:sz w:val="28"/>
          <w:szCs w:val="28"/>
          <w:lang w:val="en-US" w:eastAsia="zh-CN"/>
        </w:rPr>
        <w:t>等要求，</w:t>
      </w:r>
      <w:r>
        <w:rPr>
          <w:rFonts w:hint="eastAsia" w:ascii="仿宋_GB2312" w:hAnsi="仿宋_GB2312" w:eastAsia="仿宋_GB2312" w:cs="仿宋_GB2312"/>
          <w:sz w:val="28"/>
          <w:szCs w:val="28"/>
        </w:rPr>
        <w:t>围绕实习组织、实习管理、实习考核、安全职责和保障措施等全链条、全过程，严守实习基本规范，严格落实1个“严禁”、27个“不得”底线和红线刚性约束。如相关专业确因专业特殊性需突破相关要求的，必须进行科学规范充分论证，落实实习备案，并确保备案数据精准，强化实习管理工作。</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三</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规范管理，合理安排，</w:t>
      </w:r>
      <w:r>
        <w:rPr>
          <w:rFonts w:hint="eastAsia" w:ascii="仿宋_GB2312" w:hAnsi="仿宋_GB2312" w:eastAsia="仿宋_GB2312" w:cs="仿宋_GB2312"/>
          <w:b/>
          <w:bCs/>
          <w:sz w:val="28"/>
          <w:szCs w:val="28"/>
          <w:lang w:val="en-US" w:eastAsia="zh-CN"/>
        </w:rPr>
        <w:t>确保实习工作平稳有序</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各二级学院</w:t>
      </w:r>
      <w:r>
        <w:rPr>
          <w:rFonts w:hint="eastAsia" w:ascii="仿宋_GB2312" w:hAnsi="仿宋_GB2312" w:eastAsia="仿宋_GB2312" w:cs="仿宋_GB2312"/>
          <w:sz w:val="28"/>
          <w:szCs w:val="28"/>
        </w:rPr>
        <w:t>各专业</w:t>
      </w:r>
      <w:r>
        <w:rPr>
          <w:rFonts w:hint="eastAsia" w:ascii="仿宋_GB2312" w:hAnsi="仿宋_GB2312" w:eastAsia="仿宋_GB2312" w:cs="仿宋_GB2312"/>
          <w:sz w:val="28"/>
          <w:szCs w:val="28"/>
          <w:lang w:val="en-US" w:eastAsia="zh-CN"/>
        </w:rPr>
        <w:t>要具体分析职业教育贯通培养、培养模式改革等实习安排提出的新要求，规范实习内容和时长，加强统筹、合理分段安排，处理好实习与职业技能培训考核、升学备考等方面的关系。要持续加强规范管理，始终把安全摆在首位，落实实习安全责任制，确保学生实习工作平稳有序。</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仿宋_GB2312" w:hAnsi="仿宋_GB2312" w:eastAsia="仿宋_GB2312" w:cs="仿宋_GB2312"/>
          <w:b/>
          <w:bCs/>
          <w:sz w:val="28"/>
          <w:szCs w:val="28"/>
          <w:lang w:val="en-US"/>
        </w:rPr>
      </w:pPr>
      <w:r>
        <w:rPr>
          <w:rFonts w:hint="eastAsia" w:ascii="仿宋_GB2312" w:hAnsi="仿宋_GB2312" w:eastAsia="仿宋_GB2312" w:cs="仿宋_GB2312"/>
          <w:b/>
          <w:bCs/>
          <w:sz w:val="28"/>
          <w:szCs w:val="28"/>
          <w:lang w:val="en-US" w:eastAsia="zh-CN"/>
        </w:rPr>
        <w:t>三、组织实施</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仿宋_GB2312" w:hAnsi="仿宋_GB2312" w:eastAsia="仿宋_GB2312" w:cs="仿宋_GB2312"/>
          <w:b/>
          <w:bCs/>
          <w:sz w:val="28"/>
          <w:szCs w:val="28"/>
          <w:lang w:val="en-US"/>
        </w:rPr>
      </w:pP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一</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 xml:space="preserve">岗位实习安排 </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rPr>
        <w:t>1.</w:t>
      </w:r>
      <w:r>
        <w:rPr>
          <w:rFonts w:hint="eastAsia" w:ascii="仿宋_GB2312" w:hAnsi="仿宋_GB2312" w:eastAsia="仿宋_GB2312" w:cs="仿宋_GB2312"/>
          <w:b/>
          <w:bCs/>
          <w:sz w:val="28"/>
          <w:szCs w:val="28"/>
          <w:lang w:val="en-US" w:eastAsia="zh-CN"/>
        </w:rPr>
        <w:t>规范做好实习备案工作。</w:t>
      </w:r>
      <w:r>
        <w:rPr>
          <w:rFonts w:hint="eastAsia" w:ascii="仿宋_GB2312" w:hAnsi="仿宋_GB2312" w:eastAsia="仿宋_GB2312" w:cs="仿宋_GB2312"/>
          <w:sz w:val="28"/>
          <w:szCs w:val="28"/>
          <w:lang w:val="en-US" w:eastAsia="zh-CN"/>
        </w:rPr>
        <w:t>根据《规定》及上级部门的有关要求，各二级学院要严格实习单位的管理，严格履行考察评估程序，做好新增实习单位考察评估工作、实习单位备案工作；要落实落细学生岗位实习管理，合理安排学生岗位实习，精准掌握学生实习去向及开展实习活动内容，将学生岗位实习安排登记报备；若有组织学生跨省、出国（境）实习的，须事先报学校主管部门同意，并由学校主管部门统一按程序报省级主管部门备案。</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 w:eastAsia="仿宋_GB2312" w:cs="宋体"/>
          <w:kern w:val="0"/>
          <w:sz w:val="28"/>
          <w:szCs w:val="28"/>
          <w:lang w:val="en-US" w:eastAsia="zh-CN"/>
        </w:rPr>
      </w:pPr>
      <w:r>
        <w:rPr>
          <w:rFonts w:hint="eastAsia" w:ascii="仿宋_GB2312" w:hAnsi="仿宋_GB2312" w:eastAsia="仿宋_GB2312" w:cs="仿宋_GB2312"/>
          <w:b/>
          <w:bCs/>
          <w:sz w:val="28"/>
          <w:szCs w:val="28"/>
          <w:lang w:val="en-US" w:eastAsia="zh-CN"/>
        </w:rPr>
        <w:t>2.合理做好实习岗位安排。</w:t>
      </w:r>
      <w:r>
        <w:rPr>
          <w:rFonts w:hint="eastAsia" w:ascii="仿宋_GB2312" w:hAnsi="仿宋_GB2312" w:eastAsia="仿宋_GB2312" w:cs="仿宋_GB2312"/>
          <w:sz w:val="28"/>
          <w:szCs w:val="28"/>
        </w:rPr>
        <w:t>实习岗位</w:t>
      </w:r>
      <w:r>
        <w:rPr>
          <w:rFonts w:hint="eastAsia" w:ascii="仿宋_GB2312" w:hAnsi="仿宋_GB2312" w:eastAsia="仿宋_GB2312" w:cs="仿宋_GB2312"/>
          <w:sz w:val="28"/>
          <w:szCs w:val="28"/>
          <w:lang w:val="en-US" w:eastAsia="zh-CN"/>
        </w:rPr>
        <w:t>安排</w:t>
      </w:r>
      <w:r>
        <w:rPr>
          <w:rFonts w:hint="eastAsia" w:ascii="仿宋_GB2312" w:hAnsi="仿宋_GB2312" w:eastAsia="仿宋_GB2312" w:cs="仿宋_GB2312"/>
          <w:sz w:val="28"/>
          <w:szCs w:val="28"/>
        </w:rPr>
        <w:t>应符合专业培养目标要求，与学生所学专业对口或相近，原则上不得跨专业大类安排实习</w:t>
      </w:r>
      <w:r>
        <w:rPr>
          <w:rFonts w:hint="eastAsia" w:ascii="仿宋_GB2312" w:hAnsi="仿宋_GB2312" w:eastAsia="仿宋_GB2312" w:cs="仿宋_GB2312"/>
          <w:sz w:val="28"/>
          <w:szCs w:val="28"/>
          <w:lang w:eastAsia="zh-CN"/>
        </w:rPr>
        <w:t>。实习应基本覆盖专业所对应岗位（群）的典型工作任务，不得仅安排学生从事简单重复劳动。</w:t>
      </w:r>
      <w:r>
        <w:rPr>
          <w:rFonts w:hint="eastAsia" w:ascii="仿宋_GB2312" w:hAnsi="仿宋_GB2312" w:eastAsia="仿宋_GB2312" w:cs="仿宋_GB2312"/>
          <w:sz w:val="28"/>
          <w:szCs w:val="28"/>
        </w:rPr>
        <w:t>应优先考虑本专业的校外实践教学基地</w:t>
      </w:r>
      <w:r>
        <w:rPr>
          <w:rFonts w:hint="eastAsia" w:ascii="仿宋_GB2312" w:hAnsi="仿宋_GB2312" w:eastAsia="仿宋_GB2312" w:cs="仿宋_GB2312"/>
          <w:sz w:val="28"/>
          <w:szCs w:val="28"/>
          <w:lang w:val="en-US" w:eastAsia="zh-CN"/>
        </w:rPr>
        <w:t>或</w:t>
      </w:r>
      <w:r>
        <w:rPr>
          <w:rFonts w:hint="eastAsia" w:ascii="仿宋_GB2312" w:hAnsi="仿宋_GB2312" w:eastAsia="仿宋_GB2312" w:cs="仿宋_GB2312"/>
          <w:sz w:val="28"/>
          <w:szCs w:val="28"/>
        </w:rPr>
        <w:t>尽可能安排到大、中型企业和行业中有一定知名度的企业实习，有条件的专业要以集中顶岗实习为主。如顶岗实习集中度较高，可安排校内指导教师下企业跟班专职指导，认</w:t>
      </w:r>
      <w:r>
        <w:rPr>
          <w:rFonts w:hint="eastAsia" w:ascii="仿宋_GB2312" w:hAnsi="仿宋_GB2312" w:eastAsia="仿宋_GB2312" w:cs="仿宋_GB2312"/>
          <w:sz w:val="28"/>
          <w:szCs w:val="28"/>
          <w:lang w:val="en-US" w:eastAsia="zh-CN"/>
        </w:rPr>
        <w:t>识</w:t>
      </w:r>
      <w:r>
        <w:rPr>
          <w:rFonts w:hint="eastAsia" w:ascii="仿宋_GB2312" w:hAnsi="仿宋_GB2312" w:eastAsia="仿宋_GB2312" w:cs="仿宋_GB2312"/>
          <w:sz w:val="28"/>
          <w:szCs w:val="28"/>
        </w:rPr>
        <w:t>实习须安排到校外实践教学基地进行。</w:t>
      </w:r>
      <w:r>
        <w:rPr>
          <w:rFonts w:hint="eastAsia" w:ascii="仿宋_GB2312" w:hAnsi="仿宋" w:eastAsia="仿宋_GB2312" w:cs="宋体"/>
          <w:b/>
          <w:bCs/>
          <w:kern w:val="0"/>
          <w:sz w:val="28"/>
          <w:szCs w:val="28"/>
          <w:lang w:val="en-US" w:eastAsia="zh-CN"/>
        </w:rPr>
        <w:t>对学生自行选择岗位实习单位的</w:t>
      </w:r>
      <w:r>
        <w:rPr>
          <w:rFonts w:hint="eastAsia" w:ascii="仿宋_GB2312" w:hAnsi="仿宋" w:eastAsia="仿宋_GB2312" w:cs="宋体"/>
          <w:kern w:val="0"/>
          <w:sz w:val="28"/>
          <w:szCs w:val="28"/>
          <w:lang w:val="en-US" w:eastAsia="zh-CN"/>
        </w:rPr>
        <w:t>，须提供单位营业执照复印件，学院要加强与自主实习学生家长信息沟通，共同加强对自主实习单位资质的审核，并对学生法定监护人（或家长）做好实习安全提示。</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3.召开岗前安全教育及实习动员大会。</w:t>
      </w:r>
      <w:r>
        <w:rPr>
          <w:rFonts w:hint="eastAsia" w:ascii="仿宋_GB2312" w:hAnsi="仿宋_GB2312" w:eastAsia="仿宋_GB2312" w:cs="仿宋_GB2312"/>
          <w:sz w:val="28"/>
          <w:szCs w:val="28"/>
          <w:lang w:val="en-US" w:eastAsia="zh-CN"/>
        </w:rPr>
        <w:t>各二级学院需于实习前对学生进行岗位安全教育，组织学生完成安全知识测试和签订实习安全责任书。召开学生岗位实习动员大会，强调实习纪律及安全，明确学生岗位实习的具体安排、内容、任务、过程管理和成果材料以及各环节的进度安排。对学生进行必要的岗位技能训练。</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4</w:t>
      </w: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同步做好毕业设计（调研）工作。</w:t>
      </w:r>
      <w:r>
        <w:rPr>
          <w:rFonts w:hint="eastAsia" w:ascii="仿宋_GB2312" w:hAnsi="仿宋_GB2312" w:eastAsia="仿宋_GB2312" w:cs="仿宋_GB2312"/>
          <w:sz w:val="28"/>
          <w:szCs w:val="28"/>
        </w:rPr>
        <w:t>对岗位实习与毕业设计（或调研）同步进行的，要力求做到岗位实习、毕业设计（论文、调研报告）的有机结合。在岗位实习期间，学生既要完成岗位实习的工作任务，又要结合岗位的工作任务确定选题并完成毕业设计（论文、调研报告）。</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5</w:t>
      </w: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落实好</w:t>
      </w:r>
      <w:r>
        <w:rPr>
          <w:rFonts w:hint="eastAsia" w:ascii="仿宋_GB2312" w:hAnsi="仿宋_GB2312" w:eastAsia="仿宋_GB2312" w:cs="仿宋_GB2312"/>
          <w:b/>
          <w:bCs/>
          <w:sz w:val="28"/>
          <w:szCs w:val="28"/>
        </w:rPr>
        <w:t>校外教学点各专业的岗位实习</w:t>
      </w:r>
      <w:r>
        <w:rPr>
          <w:rFonts w:hint="eastAsia" w:ascii="仿宋_GB2312" w:hAnsi="仿宋_GB2312" w:eastAsia="仿宋_GB2312" w:cs="仿宋_GB2312"/>
          <w:b/>
          <w:bCs/>
          <w:sz w:val="28"/>
          <w:szCs w:val="28"/>
          <w:lang w:val="en-US" w:eastAsia="zh-CN"/>
        </w:rPr>
        <w:t>管理工作。</w:t>
      </w:r>
      <w:r>
        <w:rPr>
          <w:rFonts w:hint="eastAsia" w:ascii="仿宋_GB2312" w:hAnsi="仿宋_GB2312" w:eastAsia="仿宋_GB2312" w:cs="仿宋_GB2312"/>
          <w:sz w:val="28"/>
          <w:szCs w:val="28"/>
          <w:lang w:val="en-US" w:eastAsia="zh-CN"/>
        </w:rPr>
        <w:t>校外教学点岗位实习</w:t>
      </w:r>
      <w:r>
        <w:rPr>
          <w:rFonts w:hint="eastAsia" w:ascii="仿宋_GB2312" w:hAnsi="仿宋_GB2312" w:eastAsia="仿宋_GB2312" w:cs="仿宋_GB2312"/>
          <w:sz w:val="28"/>
          <w:szCs w:val="28"/>
        </w:rPr>
        <w:t>课程的教学安排与管理工作，由</w:t>
      </w:r>
      <w:r>
        <w:rPr>
          <w:rFonts w:hint="eastAsia" w:ascii="仿宋_GB2312" w:hAnsi="仿宋_GB2312" w:eastAsia="仿宋_GB2312" w:cs="仿宋_GB2312"/>
          <w:sz w:val="28"/>
          <w:szCs w:val="28"/>
          <w:lang w:val="en-US" w:eastAsia="zh-CN"/>
        </w:rPr>
        <w:t>相关二级学院相关专业与</w:t>
      </w:r>
      <w:r>
        <w:rPr>
          <w:rFonts w:hint="eastAsia" w:ascii="仿宋_GB2312" w:hAnsi="仿宋_GB2312" w:eastAsia="仿宋_GB2312" w:cs="仿宋_GB2312"/>
          <w:sz w:val="28"/>
          <w:szCs w:val="28"/>
        </w:rPr>
        <w:t>各对口中职学校/教学点</w:t>
      </w:r>
      <w:r>
        <w:rPr>
          <w:rFonts w:hint="eastAsia" w:ascii="仿宋_GB2312" w:hAnsi="仿宋_GB2312" w:eastAsia="仿宋_GB2312" w:cs="仿宋_GB2312"/>
          <w:sz w:val="28"/>
          <w:szCs w:val="28"/>
          <w:lang w:val="en-US" w:eastAsia="zh-CN"/>
        </w:rPr>
        <w:t>对接</w:t>
      </w:r>
      <w:r>
        <w:rPr>
          <w:rFonts w:hint="eastAsia" w:ascii="仿宋_GB2312" w:hAnsi="仿宋_GB2312" w:eastAsia="仿宋_GB2312" w:cs="仿宋_GB2312"/>
          <w:sz w:val="28"/>
          <w:szCs w:val="28"/>
        </w:rPr>
        <w:t>负责</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统一纳入我校工学云实习管理平台进行管理。</w:t>
      </w:r>
      <w:r>
        <w:rPr>
          <w:rFonts w:hint="eastAsia" w:ascii="仿宋_GB2312" w:hAnsi="仿宋_GB2312" w:eastAsia="仿宋_GB2312" w:cs="仿宋_GB2312"/>
          <w:sz w:val="28"/>
          <w:szCs w:val="28"/>
        </w:rPr>
        <w:t>各对口中职学校/教学点</w:t>
      </w:r>
      <w:r>
        <w:rPr>
          <w:rFonts w:hint="eastAsia" w:ascii="仿宋_GB2312" w:hAnsi="仿宋_GB2312" w:eastAsia="仿宋_GB2312" w:cs="仿宋_GB2312"/>
          <w:sz w:val="28"/>
          <w:szCs w:val="28"/>
          <w:lang w:val="en-US" w:eastAsia="zh-CN"/>
        </w:rPr>
        <w:t>需</w:t>
      </w:r>
      <w:r>
        <w:rPr>
          <w:rFonts w:hint="eastAsia" w:ascii="仿宋_GB2312" w:hAnsi="仿宋_GB2312" w:eastAsia="仿宋_GB2312" w:cs="仿宋_GB2312"/>
          <w:sz w:val="28"/>
          <w:szCs w:val="28"/>
        </w:rPr>
        <w:t>严格按照实习相关法律法规要求，合理安排学生岗位实习相关工作，保证岗位实习教学质量。</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二</w:t>
      </w: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岗位实习实施与监控</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rPr>
        <w:t>1.</w:t>
      </w:r>
      <w:r>
        <w:rPr>
          <w:rFonts w:hint="eastAsia" w:ascii="仿宋_GB2312" w:hAnsi="仿宋_GB2312" w:eastAsia="仿宋_GB2312" w:cs="仿宋_GB2312"/>
          <w:b/>
          <w:bCs/>
          <w:sz w:val="28"/>
          <w:szCs w:val="28"/>
          <w:lang w:val="en-US" w:eastAsia="zh-CN"/>
        </w:rPr>
        <w:t>依托信息管理平台，</w:t>
      </w:r>
      <w:r>
        <w:rPr>
          <w:rFonts w:hint="eastAsia" w:ascii="仿宋_GB2312" w:hAnsi="仿宋_GB2312" w:eastAsia="仿宋_GB2312" w:cs="仿宋_GB2312"/>
          <w:b/>
          <w:bCs/>
          <w:sz w:val="28"/>
          <w:szCs w:val="28"/>
        </w:rPr>
        <w:t>加强实习</w:t>
      </w:r>
      <w:r>
        <w:rPr>
          <w:rFonts w:hint="eastAsia" w:ascii="仿宋_GB2312" w:hAnsi="仿宋_GB2312" w:eastAsia="仿宋_GB2312" w:cs="仿宋_GB2312"/>
          <w:b/>
          <w:bCs/>
          <w:sz w:val="28"/>
          <w:szCs w:val="28"/>
          <w:lang w:val="en-US" w:eastAsia="zh-CN"/>
        </w:rPr>
        <w:t>全</w:t>
      </w:r>
      <w:r>
        <w:rPr>
          <w:rFonts w:hint="eastAsia" w:ascii="仿宋_GB2312" w:hAnsi="仿宋_GB2312" w:eastAsia="仿宋_GB2312" w:cs="仿宋_GB2312"/>
          <w:b/>
          <w:bCs/>
          <w:sz w:val="28"/>
          <w:szCs w:val="28"/>
        </w:rPr>
        <w:t>过程跟踪管理</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val="0"/>
          <w:bCs w:val="0"/>
          <w:sz w:val="28"/>
          <w:szCs w:val="28"/>
          <w:lang w:val="en-US" w:eastAsia="zh-CN"/>
        </w:rPr>
        <w:t>采用集</w:t>
      </w:r>
      <w:r>
        <w:rPr>
          <w:rFonts w:hint="eastAsia" w:ascii="仿宋" w:hAnsi="仿宋" w:eastAsia="仿宋" w:cs="仿宋"/>
          <w:color w:val="auto"/>
          <w:sz w:val="28"/>
          <w:szCs w:val="28"/>
        </w:rPr>
        <w:t>岗位实习计划管理、实习安排、变更管理、过程管理、评价管理、数据分析与展示、实时预警等功能于一体的</w:t>
      </w:r>
      <w:r>
        <w:rPr>
          <w:rFonts w:hint="eastAsia" w:ascii="仿宋" w:hAnsi="仿宋" w:eastAsia="仿宋" w:cs="仿宋"/>
          <w:b w:val="0"/>
          <w:bCs w:val="0"/>
          <w:color w:val="auto"/>
          <w:sz w:val="28"/>
          <w:szCs w:val="28"/>
          <w:lang w:val="en-US" w:eastAsia="zh-CN"/>
        </w:rPr>
        <w:t>工学云实习管理平台对学生岗位实习进行全过程跟踪指导管理。学院要做好师生的平台操作使用培训工作，根据平台各类操作指南进行培训。</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w:t>
      </w:r>
      <w:r>
        <w:rPr>
          <w:rFonts w:hint="eastAsia" w:ascii="仿宋_GB2312" w:hAnsi="仿宋_GB2312" w:eastAsia="仿宋_GB2312" w:cs="仿宋_GB2312"/>
          <w:b/>
          <w:bCs/>
          <w:sz w:val="28"/>
          <w:szCs w:val="28"/>
          <w:lang w:val="en-US" w:eastAsia="zh-CN"/>
        </w:rPr>
        <w:t>落实好校内指导教师的实习指导与信息审核工作。</w:t>
      </w:r>
      <w:r>
        <w:rPr>
          <w:rFonts w:hint="eastAsia" w:ascii="仿宋_GB2312" w:hAnsi="仿宋_GB2312" w:eastAsia="仿宋_GB2312" w:cs="仿宋_GB2312"/>
          <w:sz w:val="28"/>
          <w:szCs w:val="28"/>
        </w:rPr>
        <w:t>校内实习指导教师要在实习开始前登录实习系统，审核学生提交的实习申请、实习单位信息及实习三方协议，对实习岗位是否对口、实习单位或岗位变更等</w:t>
      </w:r>
      <w:r>
        <w:rPr>
          <w:rFonts w:hint="eastAsia" w:ascii="仿宋_GB2312" w:hAnsi="仿宋_GB2312" w:eastAsia="仿宋_GB2312" w:cs="仿宋_GB2312"/>
          <w:sz w:val="28"/>
          <w:szCs w:val="28"/>
          <w:lang w:val="en-US" w:eastAsia="zh-CN"/>
        </w:rPr>
        <w:t>情况</w:t>
      </w:r>
      <w:r>
        <w:rPr>
          <w:rFonts w:hint="eastAsia" w:ascii="仿宋_GB2312" w:hAnsi="仿宋_GB2312" w:eastAsia="仿宋_GB2312" w:cs="仿宋_GB2312"/>
          <w:sz w:val="28"/>
          <w:szCs w:val="28"/>
        </w:rPr>
        <w:t>，要严格把关。岗位实习期间应每周不少于两次登录实习系统，及时了解学生考勤签到情况，审核学生实习周报，回复学生提问，批阅实习总结，审查实习协议、实习考核鉴定表等，及时跟踪指导。</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rPr>
        <w:t>3.</w:t>
      </w:r>
      <w:r>
        <w:rPr>
          <w:rFonts w:hint="eastAsia" w:ascii="仿宋_GB2312" w:hAnsi="仿宋_GB2312" w:eastAsia="仿宋_GB2312" w:cs="仿宋_GB2312"/>
          <w:b/>
          <w:bCs/>
          <w:sz w:val="28"/>
          <w:szCs w:val="28"/>
          <w:lang w:val="en-US" w:eastAsia="zh-CN"/>
        </w:rPr>
        <w:t>落实好实习学生的</w:t>
      </w:r>
      <w:r>
        <w:rPr>
          <w:rFonts w:hint="eastAsia" w:ascii="仿宋_GB2312" w:hAnsi="仿宋_GB2312" w:eastAsia="仿宋_GB2312" w:cs="仿宋_GB2312"/>
          <w:b/>
          <w:bCs/>
          <w:sz w:val="28"/>
          <w:szCs w:val="28"/>
        </w:rPr>
        <w:t>实习</w:t>
      </w:r>
      <w:r>
        <w:rPr>
          <w:rFonts w:hint="eastAsia" w:ascii="仿宋_GB2312" w:hAnsi="仿宋_GB2312" w:eastAsia="仿宋_GB2312" w:cs="仿宋_GB2312"/>
          <w:b/>
          <w:bCs/>
          <w:sz w:val="28"/>
          <w:szCs w:val="28"/>
          <w:lang w:val="en-US" w:eastAsia="zh-CN"/>
        </w:rPr>
        <w:t>信息填报及材料提交工作。</w:t>
      </w:r>
      <w:r>
        <w:rPr>
          <w:rFonts w:hint="eastAsia" w:ascii="仿宋_GB2312" w:hAnsi="仿宋_GB2312" w:eastAsia="仿宋_GB2312" w:cs="仿宋_GB2312"/>
          <w:sz w:val="28"/>
          <w:szCs w:val="28"/>
        </w:rPr>
        <w:t>学生应在规定的实习时间内登录实习系统填报实习单位信息</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上传实习三方协议</w:t>
      </w:r>
      <w:r>
        <w:rPr>
          <w:rFonts w:hint="eastAsia" w:ascii="仿宋_GB2312" w:hAnsi="仿宋_GB2312" w:eastAsia="仿宋_GB2312" w:cs="仿宋_GB2312"/>
          <w:sz w:val="28"/>
          <w:szCs w:val="28"/>
        </w:rPr>
        <w:t>，并于每个工作日上下班及时登录工学云APP进行上下班拍照签到和签退，如果无正当理由未签到次数超过应签到次数的三分之一，视为本次岗位实习考勤不合格，同时无法获得相应的实习学分需要重修。每周需进行实习小结和情况记录，登录实习平台或APP填写周记，周记逾期两周未填报，实习系统不再接受补交</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实习总结</w:t>
      </w:r>
      <w:r>
        <w:rPr>
          <w:rFonts w:hint="eastAsia" w:ascii="仿宋_GB2312" w:hAnsi="仿宋_GB2312" w:eastAsia="仿宋_GB2312" w:cs="仿宋_GB2312"/>
          <w:sz w:val="28"/>
          <w:szCs w:val="28"/>
          <w:lang w:val="en-US" w:eastAsia="zh-CN"/>
        </w:rPr>
        <w:t>报告</w:t>
      </w:r>
      <w:r>
        <w:rPr>
          <w:rFonts w:hint="eastAsia" w:ascii="仿宋_GB2312" w:hAnsi="仿宋_GB2312" w:eastAsia="仿宋_GB2312" w:cs="仿宋_GB2312"/>
          <w:sz w:val="28"/>
          <w:szCs w:val="28"/>
        </w:rPr>
        <w:t>、实习考核鉴定表也应及时填报和上传，上述各项资料如未按时完成，其实习将自动顺延。如学生在顺延周期内还不能完成，须申请岗位实习</w:t>
      </w:r>
      <w:r>
        <w:rPr>
          <w:rFonts w:hint="eastAsia" w:ascii="仿宋_GB2312" w:hAnsi="仿宋_GB2312" w:eastAsia="仿宋_GB2312" w:cs="仿宋_GB2312"/>
          <w:sz w:val="28"/>
          <w:szCs w:val="28"/>
          <w:lang w:val="en-US" w:eastAsia="zh-CN"/>
        </w:rPr>
        <w:t>重修。</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4</w:t>
      </w: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执行实习数据定期通报制度。</w:t>
      </w:r>
      <w:r>
        <w:rPr>
          <w:rFonts w:hint="eastAsia" w:ascii="仿宋_GB2312" w:hAnsi="仿宋_GB2312" w:eastAsia="仿宋_GB2312" w:cs="仿宋_GB2312"/>
          <w:sz w:val="28"/>
          <w:szCs w:val="28"/>
        </w:rPr>
        <w:t>教务处将</w:t>
      </w:r>
      <w:r>
        <w:rPr>
          <w:rFonts w:hint="eastAsia" w:ascii="仿宋_GB2312" w:hAnsi="仿宋_GB2312" w:eastAsia="仿宋_GB2312" w:cs="仿宋_GB2312"/>
          <w:sz w:val="28"/>
          <w:szCs w:val="28"/>
          <w:lang w:val="en-US" w:eastAsia="zh-CN"/>
        </w:rPr>
        <w:t>岗位实习期间</w:t>
      </w:r>
      <w:r>
        <w:rPr>
          <w:rFonts w:hint="eastAsia" w:ascii="仿宋_GB2312" w:hAnsi="仿宋_GB2312" w:eastAsia="仿宋_GB2312" w:cs="仿宋_GB2312"/>
          <w:sz w:val="28"/>
          <w:szCs w:val="28"/>
        </w:rPr>
        <w:t>每月</w:t>
      </w:r>
      <w:r>
        <w:rPr>
          <w:rFonts w:hint="eastAsia" w:ascii="仿宋_GB2312" w:hAnsi="仿宋_GB2312" w:eastAsia="仿宋_GB2312" w:cs="仿宋_GB2312"/>
          <w:sz w:val="28"/>
          <w:szCs w:val="28"/>
          <w:lang w:val="en-US" w:eastAsia="zh-CN"/>
        </w:rPr>
        <w:t>或定期通过工学云实习管理平台数据以</w:t>
      </w:r>
      <w:r>
        <w:rPr>
          <w:rFonts w:hint="eastAsia" w:ascii="仿宋_GB2312" w:hAnsi="仿宋_GB2312" w:eastAsia="仿宋_GB2312" w:cs="仿宋_GB2312"/>
          <w:sz w:val="28"/>
          <w:szCs w:val="28"/>
        </w:rPr>
        <w:t>岗位实习简报向全校公布</w:t>
      </w:r>
      <w:r>
        <w:rPr>
          <w:rFonts w:hint="eastAsia" w:ascii="仿宋_GB2312" w:hAnsi="仿宋_GB2312" w:eastAsia="仿宋_GB2312" w:cs="仿宋_GB2312"/>
          <w:sz w:val="28"/>
          <w:szCs w:val="28"/>
          <w:lang w:val="en-US" w:eastAsia="zh-CN"/>
        </w:rPr>
        <w:t>各专业</w:t>
      </w:r>
      <w:r>
        <w:rPr>
          <w:rFonts w:hint="eastAsia" w:ascii="仿宋_GB2312" w:hAnsi="仿宋_GB2312" w:eastAsia="仿宋_GB2312" w:cs="仿宋_GB2312"/>
          <w:sz w:val="28"/>
          <w:szCs w:val="28"/>
        </w:rPr>
        <w:t>岗位实习情况。各指导教师和实习学生应根据实习系统填报的相关要求，严格按规定执行。</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三</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岗位实习考核评价</w:t>
      </w:r>
    </w:p>
    <w:p>
      <w:pPr>
        <w:keepNext w:val="0"/>
        <w:keepLines w:val="0"/>
        <w:pageBreakBefore w:val="0"/>
        <w:widowControl w:val="0"/>
        <w:tabs>
          <w:tab w:val="left" w:pos="7140"/>
        </w:tabs>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w:t>
      </w:r>
      <w:r>
        <w:rPr>
          <w:rFonts w:hint="eastAsia" w:ascii="仿宋_GB2312" w:hAnsi="仿宋_GB2312" w:eastAsia="仿宋_GB2312" w:cs="仿宋_GB2312"/>
          <w:b/>
          <w:bCs/>
          <w:sz w:val="28"/>
          <w:szCs w:val="28"/>
          <w:lang w:val="en-US" w:eastAsia="zh-CN"/>
        </w:rPr>
        <w:t>考核内容要科学化。</w:t>
      </w:r>
      <w:r>
        <w:rPr>
          <w:rFonts w:hint="eastAsia" w:ascii="仿宋_GB2312" w:hAnsi="仿宋_GB2312" w:eastAsia="仿宋_GB2312" w:cs="仿宋_GB2312"/>
          <w:sz w:val="28"/>
          <w:szCs w:val="28"/>
          <w:lang w:val="en-US" w:eastAsia="zh-CN"/>
        </w:rPr>
        <w:t>各二级学院、专业和实习单位应重点考核岗位实习学生的岗位工作胜任能力和职业道德素养，其中从专业技能、业务水平、实习成果等方面考核学生的岗位工作胜任能力，从出勤、工作态度与纪律、团队协作和责任意识等方面考核学生的职业道德素养，不得简单套用实习单位考勤制度、员工考核标准等对学生进行考核。各二级学院各专业可参考《广州番禺职业技术学院岗位实习考核评价指标体系》（详见附件1）</w:t>
      </w:r>
      <w:r>
        <w:rPr>
          <w:rFonts w:hint="eastAsia" w:ascii="仿宋_GB2312" w:hAnsi="仿宋_GB2312" w:eastAsia="仿宋_GB2312" w:cs="仿宋_GB2312"/>
          <w:b/>
          <w:bCs/>
          <w:sz w:val="28"/>
          <w:szCs w:val="28"/>
          <w:lang w:val="en-US" w:eastAsia="zh-CN"/>
        </w:rPr>
        <w:t>制定出适合本专业的岗位实习考核指标，并将该考核指标录入工学云实习管理平台实习计划中，按计划执行。</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2.考核形式要多元化。</w:t>
      </w:r>
      <w:r>
        <w:rPr>
          <w:rFonts w:hint="eastAsia" w:ascii="仿宋_GB2312" w:hAnsi="仿宋_GB2312" w:eastAsia="仿宋_GB2312" w:cs="仿宋_GB2312"/>
          <w:sz w:val="28"/>
          <w:szCs w:val="28"/>
          <w:lang w:val="en-US" w:eastAsia="zh-CN"/>
        </w:rPr>
        <w:t>岗位实习的考核应</w:t>
      </w:r>
      <w:r>
        <w:rPr>
          <w:rFonts w:hint="eastAsia" w:ascii="仿宋_GB2312" w:hAnsi="仿宋_GB2312" w:eastAsia="仿宋_GB2312" w:cs="仿宋_GB2312"/>
          <w:sz w:val="28"/>
          <w:szCs w:val="28"/>
        </w:rPr>
        <w:t>以形成性评价和终结性评价相结合的考核方式，既突出对实习过程的考核，同时也应注重对学生的岗位实习成果、专业技能提升情况等的考核。</w:t>
      </w:r>
      <w:r>
        <w:rPr>
          <w:rFonts w:hint="eastAsia" w:ascii="仿宋_GB2312" w:hAnsi="仿宋_GB2312" w:eastAsia="仿宋_GB2312" w:cs="仿宋_GB2312"/>
          <w:sz w:val="28"/>
          <w:szCs w:val="28"/>
          <w:lang w:val="en-US" w:eastAsia="zh-CN"/>
        </w:rPr>
        <w:t>按照一定的比例综合计算岗位实习成绩。</w:t>
      </w:r>
      <w:r>
        <w:rPr>
          <w:rFonts w:hint="eastAsia" w:ascii="仿宋_GB2312" w:hAnsi="仿宋_GB2312" w:eastAsia="仿宋_GB2312" w:cs="仿宋_GB2312"/>
          <w:sz w:val="28"/>
          <w:szCs w:val="28"/>
        </w:rPr>
        <w:t>岗位实习的考核结果</w:t>
      </w:r>
      <w:r>
        <w:rPr>
          <w:rFonts w:hint="eastAsia" w:ascii="仿宋_GB2312" w:hAnsi="仿宋_GB2312" w:eastAsia="仿宋_GB2312" w:cs="仿宋_GB2312"/>
          <w:sz w:val="28"/>
          <w:szCs w:val="28"/>
          <w:lang w:val="en-US" w:eastAsia="zh-CN"/>
        </w:rPr>
        <w:t>要</w:t>
      </w:r>
      <w:r>
        <w:rPr>
          <w:rFonts w:hint="eastAsia" w:ascii="仿宋_GB2312" w:hAnsi="仿宋_GB2312" w:eastAsia="仿宋_GB2312" w:cs="仿宋_GB2312"/>
          <w:sz w:val="28"/>
          <w:szCs w:val="28"/>
        </w:rPr>
        <w:t>记入实习学生学业成绩，考核结果分优秀、良好、中等、合格和不合格五个等次。</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3.考核组织要规范化。</w:t>
      </w:r>
      <w:r>
        <w:rPr>
          <w:rFonts w:hint="eastAsia" w:ascii="仿宋_GB2312" w:hAnsi="仿宋_GB2312" w:eastAsia="仿宋_GB2312" w:cs="仿宋_GB2312"/>
          <w:sz w:val="28"/>
          <w:szCs w:val="28"/>
          <w:lang w:val="en-US" w:eastAsia="zh-CN"/>
        </w:rPr>
        <w:t>根据专业实习计划，岗位实习考核应由学校会同实习单位采取多元考核形式共同完成。</w:t>
      </w:r>
      <w:r>
        <w:rPr>
          <w:rFonts w:hint="eastAsia" w:ascii="仿宋_GB2312" w:hAnsi="仿宋_GB2312" w:eastAsia="仿宋_GB2312" w:cs="仿宋_GB2312"/>
          <w:b w:val="0"/>
          <w:bCs w:val="0"/>
          <w:sz w:val="28"/>
          <w:szCs w:val="28"/>
          <w:lang w:val="en-US" w:eastAsia="zh-CN"/>
        </w:rPr>
        <w:t>实习单位负责委派岗位实习指导专门人员在工学云实习管理平台完成企业对学生岗位实习的成绩评定，</w:t>
      </w:r>
      <w:r>
        <w:rPr>
          <w:rFonts w:hint="eastAsia" w:ascii="仿宋_GB2312" w:hAnsi="仿宋_GB2312" w:eastAsia="仿宋_GB2312" w:cs="仿宋_GB2312"/>
          <w:sz w:val="28"/>
          <w:szCs w:val="28"/>
          <w:lang w:val="en-US" w:eastAsia="zh-CN"/>
        </w:rPr>
        <w:t>并出具相关鉴定；二级学院、专业需指定校内指导教师在工学云实习管理平台进行考核评价，完成学校对学生岗位实习成绩的总评定，撰写相关评语，并组织做好学生实习考核等情况的立卷归档工作。</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四</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实习</w:t>
      </w:r>
      <w:r>
        <w:rPr>
          <w:rFonts w:hint="eastAsia" w:ascii="仿宋_GB2312" w:hAnsi="仿宋_GB2312" w:eastAsia="仿宋_GB2312" w:cs="仿宋_GB2312"/>
          <w:b/>
          <w:bCs/>
          <w:sz w:val="28"/>
          <w:szCs w:val="28"/>
        </w:rPr>
        <w:t>检查和总结</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w:t>
      </w:r>
      <w:r>
        <w:rPr>
          <w:rFonts w:hint="eastAsia" w:ascii="仿宋_GB2312" w:hAnsi="仿宋_GB2312" w:eastAsia="仿宋_GB2312" w:cs="仿宋_GB2312"/>
          <w:b/>
          <w:bCs/>
          <w:sz w:val="28"/>
          <w:szCs w:val="28"/>
          <w:lang w:val="en-US" w:eastAsia="zh-CN"/>
        </w:rPr>
        <w:t>坚持问题导向，定期开展自查自纠。</w:t>
      </w:r>
      <w:r>
        <w:rPr>
          <w:rFonts w:hint="eastAsia" w:ascii="仿宋_GB2312" w:hAnsi="仿宋_GB2312" w:eastAsia="仿宋_GB2312" w:cs="仿宋_GB2312"/>
          <w:sz w:val="28"/>
          <w:szCs w:val="28"/>
        </w:rPr>
        <w:t>各二级学院、各专业要定期按照《规定》要求进行自查自纠，加强实习全过程管理，及时排查和消除漏洞，整改存在问题，避免出现认识不到位、措施不得力、实习管理不规范和违规组织学生实习等问题。</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w:t>
      </w:r>
      <w:r>
        <w:rPr>
          <w:rFonts w:hint="eastAsia" w:ascii="仿宋_GB2312" w:hAnsi="仿宋_GB2312" w:eastAsia="仿宋_GB2312" w:cs="仿宋_GB2312"/>
          <w:b/>
          <w:bCs/>
          <w:sz w:val="28"/>
          <w:szCs w:val="28"/>
          <w:lang w:val="en-US" w:eastAsia="zh-CN"/>
        </w:rPr>
        <w:t>做好实习工作总结，自我诊断，持续改进。</w:t>
      </w:r>
      <w:r>
        <w:rPr>
          <w:rFonts w:hint="eastAsia" w:ascii="仿宋_GB2312" w:hAnsi="仿宋_GB2312" w:eastAsia="仿宋_GB2312" w:cs="仿宋_GB2312"/>
          <w:sz w:val="28"/>
          <w:szCs w:val="28"/>
        </w:rPr>
        <w:t>学生实习结束后，各二级学院、各专业应对各种重要数据进行分析，并进行实习工作总结和实习成果汇报。实习总结内容应包括学生实习的基本情况、实习计划执行情况、实习指导方法、实习效果、存在问题、改进措施等。</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3</w:t>
      </w: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规范做好实习过程材料立卷归档工作。</w:t>
      </w:r>
      <w:r>
        <w:rPr>
          <w:rFonts w:hint="eastAsia" w:ascii="仿宋_GB2312" w:hAnsi="仿宋_GB2312" w:eastAsia="仿宋_GB2312" w:cs="仿宋_GB2312"/>
          <w:sz w:val="28"/>
          <w:szCs w:val="28"/>
        </w:rPr>
        <w:t>各二级学院、各专业应重视岗位实习计划、毕业调研（设计）计划的制定和有关档案资料积累、存档工作，按要求上传及提交材料，学校将对各二级学院、专业实习全过程工作进行检查</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具体立卷归档材料及存档要求详见附件2 。</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三、实习安全及保障措施</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（一）压实安全责任，建立联防联控机制</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二级学院要根据《广州番禺职业技术学院学生校外实习安全事件应急预案》，健全实习突发事件应急管理联动机制，成立学院——专业——指导老师应急小组，有效预防、及时控制和妥善处置各类实习突发事件，做好学生实习安全工作，切实维护学生合法权益，确保实习工作平稳有序开展。同时与实习单位建立联防联控机制，</w:t>
      </w:r>
      <w:r>
        <w:rPr>
          <w:rFonts w:hint="eastAsia" w:ascii="仿宋_GB2312" w:hAnsi="仿宋_GB2312" w:eastAsia="仿宋_GB2312" w:cs="仿宋_GB2312"/>
          <w:sz w:val="28"/>
          <w:szCs w:val="28"/>
          <w:lang w:val="en-US" w:eastAsia="zh-CN"/>
        </w:rPr>
        <w:t>应确保实习单位已建立生产安全责任制，执行相关安全生产标准，健全安全生产规章制度和操作规程，制定生产安全事故应急救援预案，配备必要的安全保障器材和劳动防护用品。严格执行国家及地方安全生产、职业卫生、人格权保护等有关规定，保障学生实习期间的人身安全和健康。</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（二）建立学生实习信息通报制度</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在学生在学生岗位实习过程中，二级学院应当会同实习单位加强学生思想政治、安全生产、道德法纪、心理健康等方面的教育，共同建立学生实习信息通报制度。原则上安排校内实习指导教师和实习单位指定的专人每日检查并向二级学院和实习单位报告学生实习情况。遇有重要情况应当立即报告，不得迟报、瞒报、漏报。</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三）落实实习巡查工作机制</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二级学院要成立实习巡查小组，要开展形式多样的检查活动，例如，组织有关教师到实习单位进行现场检查指导，召开实习单位、指导教师及实习学生座谈会，进行问卷调查等，加强对实习学生的跟踪指导和安全教育，及时反馈和处理检查中发现的问题，并做好相关记录。</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四）</w:t>
      </w:r>
      <w:r>
        <w:rPr>
          <w:rFonts w:hint="eastAsia" w:ascii="仿宋_GB2312" w:hAnsi="仿宋_GB2312" w:eastAsia="仿宋_GB2312" w:cs="仿宋_GB2312"/>
          <w:b/>
          <w:bCs/>
          <w:sz w:val="28"/>
          <w:szCs w:val="28"/>
        </w:rPr>
        <w:t>增强学生</w:t>
      </w:r>
      <w:r>
        <w:rPr>
          <w:rFonts w:hint="eastAsia" w:ascii="仿宋_GB2312" w:hAnsi="仿宋_GB2312" w:eastAsia="仿宋_GB2312" w:cs="仿宋_GB2312"/>
          <w:b/>
          <w:bCs/>
          <w:sz w:val="28"/>
          <w:szCs w:val="28"/>
          <w:lang w:val="en-US" w:eastAsia="zh-CN"/>
        </w:rPr>
        <w:t>安全</w:t>
      </w:r>
      <w:r>
        <w:rPr>
          <w:rFonts w:hint="eastAsia" w:ascii="仿宋_GB2312" w:hAnsi="仿宋_GB2312" w:eastAsia="仿宋_GB2312" w:cs="仿宋_GB2312"/>
          <w:b/>
          <w:bCs/>
          <w:sz w:val="28"/>
          <w:szCs w:val="28"/>
        </w:rPr>
        <w:t>防范意识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实习期间，实习指导教师须强化学生</w:t>
      </w:r>
      <w:r>
        <w:rPr>
          <w:rFonts w:hint="eastAsia" w:ascii="仿宋_GB2312" w:hAnsi="仿宋_GB2312" w:eastAsia="仿宋_GB2312" w:cs="仿宋_GB2312"/>
          <w:sz w:val="28"/>
          <w:szCs w:val="28"/>
          <w:lang w:val="en-US" w:eastAsia="zh-CN"/>
        </w:rPr>
        <w:t>实习岗位安全</w:t>
      </w:r>
      <w:r>
        <w:rPr>
          <w:rFonts w:hint="eastAsia" w:ascii="仿宋_GB2312" w:hAnsi="仿宋_GB2312" w:eastAsia="仿宋_GB2312" w:cs="仿宋_GB2312"/>
          <w:sz w:val="28"/>
          <w:szCs w:val="28"/>
        </w:rPr>
        <w:t>意识</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加强实习安全教育，提高岗位专业技能，</w:t>
      </w:r>
      <w:r>
        <w:rPr>
          <w:rFonts w:hint="eastAsia" w:ascii="仿宋_GB2312" w:hAnsi="仿宋_GB2312" w:eastAsia="仿宋_GB2312" w:cs="仿宋_GB2312"/>
          <w:sz w:val="28"/>
          <w:szCs w:val="28"/>
        </w:rPr>
        <w:t>督促实习学生加强对劳动保护、劳动安全和职业病危害防护等知识的教育学习，确保实习学生</w:t>
      </w:r>
      <w:r>
        <w:rPr>
          <w:rFonts w:hint="eastAsia" w:ascii="仿宋_GB2312" w:hAnsi="仿宋_GB2312" w:eastAsia="仿宋_GB2312" w:cs="仿宋_GB2312"/>
          <w:sz w:val="28"/>
          <w:szCs w:val="28"/>
          <w:lang w:val="en-US" w:eastAsia="zh-CN"/>
        </w:rPr>
        <w:t>人身安全与</w:t>
      </w:r>
      <w:r>
        <w:rPr>
          <w:rFonts w:hint="eastAsia" w:ascii="仿宋_GB2312" w:hAnsi="仿宋_GB2312" w:eastAsia="仿宋_GB2312" w:cs="仿宋_GB2312"/>
          <w:sz w:val="28"/>
          <w:szCs w:val="28"/>
        </w:rPr>
        <w:t>健康。</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四、其他未尽事宜，按《广州番禺职业技术学院实习管理办法（修订）》要求执行。</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附件：</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1.岗位实习考核评价指标体系</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2.岗位实习材料提交与存档要求</w:t>
      </w:r>
    </w:p>
    <w:p>
      <w:pPr>
        <w:pStyle w:val="2"/>
        <w:rPr>
          <w:rFonts w:hint="eastAsia" w:ascii="仿宋_GB2312" w:hAnsi="仿宋_GB2312" w:eastAsia="仿宋_GB2312" w:cs="仿宋_GB2312"/>
          <w:sz w:val="28"/>
          <w:szCs w:val="28"/>
          <w:lang w:val="en-US" w:eastAsia="zh-CN"/>
        </w:rPr>
      </w:pPr>
    </w:p>
    <w:p>
      <w:pPr>
        <w:rPr>
          <w:rFonts w:hint="eastAsia" w:ascii="仿宋_GB2312" w:hAnsi="仿宋_GB2312" w:eastAsia="仿宋_GB2312" w:cs="仿宋_GB2312"/>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附件1 </w:t>
      </w:r>
    </w:p>
    <w:p>
      <w:pPr>
        <w:pStyle w:val="8"/>
        <w:rPr>
          <w:rFonts w:hint="default"/>
          <w:b/>
          <w:bCs/>
          <w:lang w:val="en-US" w:eastAsia="zh-CN"/>
        </w:rPr>
      </w:pPr>
      <w:r>
        <w:rPr>
          <w:rFonts w:hint="eastAsia" w:ascii="仿宋_GB2312" w:hAnsi="仿宋_GB2312" w:eastAsia="仿宋_GB2312" w:cs="仿宋_GB2312"/>
          <w:b/>
          <w:bCs/>
          <w:sz w:val="28"/>
          <w:szCs w:val="28"/>
          <w:lang w:val="en-US" w:eastAsia="zh-CN"/>
        </w:rPr>
        <w:t>岗位实习考核评价指标体系</w:t>
      </w:r>
    </w:p>
    <w:tbl>
      <w:tblPr>
        <w:tblStyle w:val="9"/>
        <w:tblW w:w="8681" w:type="dxa"/>
        <w:tblInd w:w="3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6"/>
        <w:gridCol w:w="2007"/>
        <w:gridCol w:w="2977"/>
        <w:gridCol w:w="992"/>
        <w:gridCol w:w="1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66" w:type="dxa"/>
            <w:noWrap w:val="0"/>
            <w:vAlign w:val="center"/>
          </w:tcPr>
          <w:p>
            <w:pPr>
              <w:widowControl/>
              <w:spacing w:line="3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一级指标</w:t>
            </w:r>
          </w:p>
        </w:tc>
        <w:tc>
          <w:tcPr>
            <w:tcW w:w="2007" w:type="dxa"/>
            <w:noWrap w:val="0"/>
            <w:vAlign w:val="center"/>
          </w:tcPr>
          <w:p>
            <w:pPr>
              <w:widowControl/>
              <w:spacing w:line="3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二级指标</w:t>
            </w:r>
          </w:p>
        </w:tc>
        <w:tc>
          <w:tcPr>
            <w:tcW w:w="2977" w:type="dxa"/>
            <w:noWrap w:val="0"/>
            <w:vAlign w:val="center"/>
          </w:tcPr>
          <w:p>
            <w:pPr>
              <w:widowControl/>
              <w:spacing w:line="3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观测点</w:t>
            </w:r>
          </w:p>
        </w:tc>
        <w:tc>
          <w:tcPr>
            <w:tcW w:w="992" w:type="dxa"/>
            <w:noWrap w:val="0"/>
            <w:vAlign w:val="center"/>
          </w:tcPr>
          <w:p>
            <w:pPr>
              <w:widowControl/>
              <w:spacing w:line="3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评价</w:t>
            </w:r>
          </w:p>
          <w:p>
            <w:pPr>
              <w:widowControl/>
              <w:spacing w:line="3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主体</w:t>
            </w:r>
          </w:p>
        </w:tc>
        <w:tc>
          <w:tcPr>
            <w:tcW w:w="1439" w:type="dxa"/>
            <w:noWrap w:val="0"/>
            <w:vAlign w:val="center"/>
          </w:tcPr>
          <w:p>
            <w:pPr>
              <w:widowControl/>
              <w:spacing w:line="3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权重</w:t>
            </w:r>
          </w:p>
          <w:p>
            <w:pPr>
              <w:widowControl/>
              <w:spacing w:line="3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（自定义）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restart"/>
            <w:noWrap w:val="0"/>
            <w:vAlign w:val="center"/>
          </w:tcPr>
          <w:p>
            <w:pPr>
              <w:widowControl/>
              <w:spacing w:line="30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1.实习态度</w:t>
            </w: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1.1实习时长情况</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实际</w:t>
            </w:r>
            <w:r>
              <w:rPr>
                <w:rFonts w:hint="eastAsia" w:ascii="仿宋_GB2312" w:hAnsi="仿宋_GB2312" w:eastAsia="仿宋_GB2312" w:cs="仿宋_GB2312"/>
                <w:kern w:val="0"/>
                <w:sz w:val="21"/>
                <w:szCs w:val="21"/>
                <w:lang w:val="en-US" w:eastAsia="zh-CN"/>
              </w:rPr>
              <w:t>岗位</w:t>
            </w:r>
            <w:r>
              <w:rPr>
                <w:rFonts w:hint="eastAsia" w:ascii="仿宋_GB2312" w:hAnsi="仿宋_GB2312" w:eastAsia="仿宋_GB2312" w:cs="仿宋_GB2312"/>
                <w:kern w:val="0"/>
                <w:sz w:val="21"/>
                <w:szCs w:val="21"/>
              </w:rPr>
              <w:t>实习时长（系统签到周数）/专业人才培养方案规定的</w:t>
            </w:r>
            <w:r>
              <w:rPr>
                <w:rFonts w:hint="eastAsia" w:ascii="仿宋_GB2312" w:hAnsi="仿宋_GB2312" w:eastAsia="仿宋_GB2312" w:cs="仿宋_GB2312"/>
                <w:kern w:val="0"/>
                <w:sz w:val="21"/>
                <w:szCs w:val="21"/>
                <w:lang w:val="en-US" w:eastAsia="zh-CN"/>
              </w:rPr>
              <w:t>岗位</w:t>
            </w:r>
            <w:r>
              <w:rPr>
                <w:rFonts w:hint="eastAsia" w:ascii="仿宋_GB2312" w:hAnsi="仿宋_GB2312" w:eastAsia="仿宋_GB2312" w:cs="仿宋_GB2312"/>
                <w:kern w:val="0"/>
                <w:sz w:val="21"/>
                <w:szCs w:val="21"/>
              </w:rPr>
              <w:t>实习时长（计划周数）。</w:t>
            </w: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校内指导教师</w:t>
            </w: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continue"/>
            <w:noWrap w:val="0"/>
            <w:vAlign w:val="center"/>
          </w:tcPr>
          <w:p>
            <w:pPr>
              <w:widowControl/>
              <w:spacing w:line="300" w:lineRule="exact"/>
              <w:jc w:val="left"/>
              <w:rPr>
                <w:rFonts w:hint="eastAsia" w:ascii="仿宋_GB2312" w:hAnsi="仿宋_GB2312" w:eastAsia="仿宋_GB2312" w:cs="仿宋_GB2312"/>
                <w:kern w:val="0"/>
                <w:sz w:val="21"/>
                <w:szCs w:val="21"/>
              </w:rPr>
            </w:pP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1.2学校管理情况</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每周主动向校内指导教师报告实习情况次数；及时填写实习周志及其它相关数据，提交相关资料等情况。</w:t>
            </w: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校内指导教师</w:t>
            </w: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continue"/>
            <w:noWrap w:val="0"/>
            <w:vAlign w:val="center"/>
          </w:tcPr>
          <w:p>
            <w:pPr>
              <w:widowControl/>
              <w:spacing w:line="300" w:lineRule="exact"/>
              <w:jc w:val="left"/>
              <w:rPr>
                <w:rFonts w:hint="eastAsia" w:ascii="仿宋_GB2312" w:hAnsi="仿宋_GB2312" w:eastAsia="仿宋_GB2312" w:cs="仿宋_GB2312"/>
                <w:kern w:val="0"/>
                <w:sz w:val="21"/>
                <w:szCs w:val="21"/>
              </w:rPr>
            </w:pPr>
          </w:p>
        </w:tc>
        <w:tc>
          <w:tcPr>
            <w:tcW w:w="2007" w:type="dxa"/>
            <w:noWrap w:val="0"/>
            <w:vAlign w:val="top"/>
          </w:tcPr>
          <w:p>
            <w:pPr>
              <w:widowControl/>
              <w:spacing w:line="300" w:lineRule="exac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自定义指标</w:t>
            </w:r>
          </w:p>
        </w:tc>
        <w:tc>
          <w:tcPr>
            <w:tcW w:w="2977" w:type="dxa"/>
            <w:noWrap w:val="0"/>
            <w:vAlign w:val="top"/>
          </w:tcPr>
          <w:p>
            <w:pPr>
              <w:widowControl/>
              <w:spacing w:line="300" w:lineRule="exact"/>
              <w:jc w:val="center"/>
              <w:rPr>
                <w:rFonts w:hint="eastAsia" w:ascii="仿宋_GB2312" w:hAnsi="仿宋_GB2312" w:eastAsia="仿宋_GB2312" w:cs="仿宋_GB2312"/>
                <w:kern w:val="0"/>
                <w:sz w:val="21"/>
                <w:szCs w:val="21"/>
              </w:rPr>
            </w:pP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校内指导教师</w:t>
            </w: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restart"/>
            <w:noWrap w:val="0"/>
            <w:vAlign w:val="center"/>
          </w:tcPr>
          <w:p>
            <w:pPr>
              <w:widowControl/>
              <w:spacing w:line="30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2.实习安排（只对不服从学校安排，自</w:t>
            </w:r>
            <w:r>
              <w:rPr>
                <w:rFonts w:hint="eastAsia" w:ascii="仿宋_GB2312" w:hAnsi="仿宋_GB2312" w:eastAsia="仿宋_GB2312" w:cs="仿宋_GB2312"/>
                <w:kern w:val="0"/>
                <w:sz w:val="21"/>
                <w:szCs w:val="21"/>
                <w:lang w:val="en-US" w:eastAsia="zh-CN"/>
              </w:rPr>
              <w:t>选</w:t>
            </w:r>
            <w:r>
              <w:rPr>
                <w:rFonts w:hint="eastAsia" w:ascii="仿宋_GB2312" w:hAnsi="仿宋_GB2312" w:eastAsia="仿宋_GB2312" w:cs="仿宋_GB2312"/>
                <w:kern w:val="0"/>
                <w:sz w:val="21"/>
                <w:szCs w:val="21"/>
              </w:rPr>
              <w:t>实习岗位学生适用）</w:t>
            </w: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2.1岗位专业性</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实习岗位的与专业培养方案中就业岗位吻合度。</w:t>
            </w: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校内指导教师</w:t>
            </w: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continue"/>
            <w:noWrap w:val="0"/>
            <w:vAlign w:val="center"/>
          </w:tcPr>
          <w:p>
            <w:pPr>
              <w:widowControl/>
              <w:spacing w:line="300" w:lineRule="exact"/>
              <w:jc w:val="left"/>
              <w:rPr>
                <w:rFonts w:hint="eastAsia" w:ascii="仿宋_GB2312" w:hAnsi="仿宋_GB2312" w:eastAsia="仿宋_GB2312" w:cs="仿宋_GB2312"/>
                <w:kern w:val="0"/>
                <w:sz w:val="21"/>
                <w:szCs w:val="21"/>
              </w:rPr>
            </w:pP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2.2实习内容的科学性（教学性）</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实习内容（任务）的与顶岗实习教学要求吻合度。</w:t>
            </w: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校内指导教师</w:t>
            </w: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continue"/>
            <w:noWrap w:val="0"/>
            <w:vAlign w:val="center"/>
          </w:tcPr>
          <w:p>
            <w:pPr>
              <w:widowControl/>
              <w:spacing w:line="300" w:lineRule="exact"/>
              <w:jc w:val="left"/>
              <w:rPr>
                <w:rFonts w:hint="eastAsia" w:ascii="仿宋_GB2312" w:hAnsi="仿宋_GB2312" w:eastAsia="仿宋_GB2312" w:cs="仿宋_GB2312"/>
                <w:kern w:val="0"/>
                <w:sz w:val="21"/>
                <w:szCs w:val="21"/>
              </w:rPr>
            </w:pP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2.3实习单位对学生实习管理的规范性</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实习单位配备校外指导教师情况；校外指导教师指导情况；单位对实习学生其它管理情况。</w:t>
            </w: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校内指导教师</w:t>
            </w: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continue"/>
            <w:noWrap w:val="0"/>
            <w:vAlign w:val="center"/>
          </w:tcPr>
          <w:p>
            <w:pPr>
              <w:widowControl/>
              <w:spacing w:line="300" w:lineRule="exact"/>
              <w:jc w:val="left"/>
              <w:rPr>
                <w:rFonts w:hint="eastAsia" w:ascii="仿宋_GB2312" w:hAnsi="仿宋_GB2312" w:eastAsia="仿宋_GB2312" w:cs="仿宋_GB2312"/>
                <w:kern w:val="0"/>
                <w:sz w:val="21"/>
                <w:szCs w:val="21"/>
              </w:rPr>
            </w:pP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自定义指标</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restart"/>
            <w:noWrap w:val="0"/>
            <w:vAlign w:val="center"/>
          </w:tcPr>
          <w:p>
            <w:pPr>
              <w:widowControl/>
              <w:spacing w:line="30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3.实习过程</w:t>
            </w: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3.1实习出勤率</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顶岗实习出勤率。</w:t>
            </w: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校外指导教师</w:t>
            </w: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continue"/>
            <w:noWrap w:val="0"/>
            <w:vAlign w:val="center"/>
          </w:tcPr>
          <w:p>
            <w:pPr>
              <w:widowControl/>
              <w:spacing w:line="300" w:lineRule="exact"/>
              <w:jc w:val="left"/>
              <w:rPr>
                <w:rFonts w:hint="eastAsia" w:ascii="仿宋_GB2312" w:hAnsi="仿宋_GB2312" w:eastAsia="仿宋_GB2312" w:cs="仿宋_GB2312"/>
                <w:kern w:val="0"/>
                <w:sz w:val="21"/>
                <w:szCs w:val="21"/>
              </w:rPr>
            </w:pP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3.2遵守实习单位规章制度情况</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违规违纪情况。</w:t>
            </w: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校外指导教师</w:t>
            </w: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continue"/>
            <w:noWrap w:val="0"/>
            <w:vAlign w:val="center"/>
          </w:tcPr>
          <w:p>
            <w:pPr>
              <w:widowControl/>
              <w:spacing w:line="300" w:lineRule="exact"/>
              <w:jc w:val="left"/>
              <w:rPr>
                <w:rFonts w:hint="eastAsia" w:ascii="仿宋_GB2312" w:hAnsi="仿宋_GB2312" w:eastAsia="仿宋_GB2312" w:cs="仿宋_GB2312"/>
                <w:kern w:val="0"/>
                <w:sz w:val="21"/>
                <w:szCs w:val="21"/>
              </w:rPr>
            </w:pP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3.3向校外指导教师请求指导的情况</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每周主动请教校外指导老师次数；请教问题的针对性、科学性。</w:t>
            </w: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校外指导教师</w:t>
            </w: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continue"/>
            <w:noWrap w:val="0"/>
            <w:vAlign w:val="center"/>
          </w:tcPr>
          <w:p>
            <w:pPr>
              <w:widowControl/>
              <w:spacing w:line="300" w:lineRule="exact"/>
              <w:jc w:val="left"/>
              <w:rPr>
                <w:rFonts w:hint="eastAsia" w:ascii="仿宋_GB2312" w:hAnsi="仿宋_GB2312" w:eastAsia="仿宋_GB2312" w:cs="仿宋_GB2312"/>
                <w:kern w:val="0"/>
                <w:sz w:val="21"/>
                <w:szCs w:val="21"/>
              </w:rPr>
            </w:pP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3.4实习岗位工作任务完成情况</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工作任务完成数量与质量；工作中失误情况。</w:t>
            </w: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校外指导教师</w:t>
            </w: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continue"/>
            <w:noWrap w:val="0"/>
            <w:vAlign w:val="center"/>
          </w:tcPr>
          <w:p>
            <w:pPr>
              <w:widowControl/>
              <w:spacing w:line="300" w:lineRule="exact"/>
              <w:jc w:val="left"/>
              <w:rPr>
                <w:rFonts w:hint="eastAsia" w:ascii="仿宋_GB2312" w:hAnsi="仿宋_GB2312" w:eastAsia="仿宋_GB2312" w:cs="仿宋_GB2312"/>
                <w:kern w:val="0"/>
                <w:sz w:val="21"/>
                <w:szCs w:val="21"/>
              </w:rPr>
            </w:pP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3.5遵守职业规范情况</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违反职业道德行为发生情况。</w:t>
            </w: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校外指导教师</w:t>
            </w: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continue"/>
            <w:noWrap w:val="0"/>
            <w:vAlign w:val="center"/>
          </w:tcPr>
          <w:p>
            <w:pPr>
              <w:widowControl/>
              <w:spacing w:line="300" w:lineRule="exact"/>
              <w:jc w:val="left"/>
              <w:rPr>
                <w:rFonts w:hint="eastAsia" w:ascii="仿宋_GB2312" w:hAnsi="仿宋_GB2312" w:eastAsia="仿宋_GB2312" w:cs="仿宋_GB2312"/>
                <w:kern w:val="0"/>
                <w:sz w:val="21"/>
                <w:szCs w:val="21"/>
              </w:rPr>
            </w:pP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自定义指标</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restart"/>
            <w:noWrap w:val="0"/>
            <w:vAlign w:val="center"/>
          </w:tcPr>
          <w:p>
            <w:pPr>
              <w:widowControl/>
              <w:spacing w:line="30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4.实习效果</w:t>
            </w: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4.1实习总结情况</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总结提交的及时性；总结内容的全面性、合理性；总结形式的规范性。</w:t>
            </w: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校内指导教师</w:t>
            </w: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continue"/>
            <w:noWrap w:val="0"/>
            <w:vAlign w:val="center"/>
          </w:tcPr>
          <w:p>
            <w:pPr>
              <w:widowControl/>
              <w:spacing w:line="300" w:lineRule="exact"/>
              <w:jc w:val="left"/>
              <w:rPr>
                <w:rFonts w:hint="eastAsia" w:ascii="仿宋_GB2312" w:hAnsi="仿宋_GB2312" w:eastAsia="仿宋_GB2312" w:cs="仿宋_GB2312"/>
                <w:kern w:val="0"/>
                <w:sz w:val="21"/>
                <w:szCs w:val="21"/>
              </w:rPr>
            </w:pP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4.1实习成果情况</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实习成果的专业性；实习成果的先进性。</w:t>
            </w: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校内指导教师</w:t>
            </w: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continue"/>
            <w:noWrap w:val="0"/>
            <w:vAlign w:val="center"/>
          </w:tcPr>
          <w:p>
            <w:pPr>
              <w:widowControl/>
              <w:spacing w:line="300" w:lineRule="exact"/>
              <w:jc w:val="left"/>
              <w:rPr>
                <w:rFonts w:hint="eastAsia" w:ascii="仿宋_GB2312" w:hAnsi="仿宋_GB2312" w:eastAsia="仿宋_GB2312" w:cs="仿宋_GB2312"/>
                <w:kern w:val="0"/>
                <w:sz w:val="21"/>
                <w:szCs w:val="21"/>
              </w:rPr>
            </w:pP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4.3技能提升情况</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以专业技能测试形式获取数据</w:t>
            </w: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校内指导教师</w:t>
            </w: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continue"/>
            <w:noWrap w:val="0"/>
            <w:vAlign w:val="center"/>
          </w:tcPr>
          <w:p>
            <w:pPr>
              <w:widowControl/>
              <w:spacing w:line="300" w:lineRule="exact"/>
              <w:jc w:val="left"/>
              <w:rPr>
                <w:rFonts w:hint="eastAsia" w:ascii="仿宋_GB2312" w:hAnsi="仿宋_GB2312" w:eastAsia="仿宋_GB2312" w:cs="仿宋_GB2312"/>
                <w:kern w:val="0"/>
                <w:sz w:val="21"/>
                <w:szCs w:val="21"/>
              </w:rPr>
            </w:pP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自定义指标</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bl>
    <w:p>
      <w:pPr>
        <w:widowControl w:val="0"/>
        <w:shd w:val="clear" w:color="auto" w:fill="auto"/>
        <w:spacing w:line="500" w:lineRule="exact"/>
        <w:jc w:val="both"/>
        <w:rPr>
          <w:rFonts w:hint="eastAsia" w:ascii="仿宋_GB2312" w:hAnsi="仿宋_GB2312" w:eastAsia="仿宋_GB2312" w:cs="仿宋_GB2312"/>
          <w:b w:val="0"/>
          <w:kern w:val="2"/>
          <w:sz w:val="28"/>
          <w:szCs w:val="28"/>
          <w:lang w:val="en-US" w:eastAsia="zh-CN"/>
        </w:rPr>
      </w:pPr>
      <w:r>
        <w:rPr>
          <w:rFonts w:hint="eastAsia" w:ascii="仿宋_GB2312" w:hAnsi="仿宋_GB2312" w:eastAsia="仿宋_GB2312" w:cs="仿宋_GB2312"/>
          <w:b w:val="0"/>
          <w:kern w:val="2"/>
          <w:sz w:val="28"/>
          <w:szCs w:val="28"/>
          <w:lang w:val="en-US" w:eastAsia="zh-CN"/>
        </w:rPr>
        <w:t>附件2</w:t>
      </w:r>
    </w:p>
    <w:p>
      <w:pPr>
        <w:widowControl w:val="0"/>
        <w:shd w:val="clear" w:color="auto" w:fill="auto"/>
        <w:spacing w:after="0" w:afterLines="0" w:line="500" w:lineRule="exact"/>
        <w:jc w:val="center"/>
        <w:rPr>
          <w:rFonts w:hint="eastAsia" w:ascii="仿宋_GB2312" w:hAnsi="仿宋_GB2312" w:eastAsia="仿宋_GB2312" w:cs="仿宋_GB2312"/>
          <w:b/>
          <w:bCs/>
          <w:kern w:val="2"/>
          <w:sz w:val="28"/>
          <w:szCs w:val="28"/>
        </w:rPr>
      </w:pPr>
      <w:r>
        <w:rPr>
          <w:rFonts w:hint="eastAsia" w:ascii="仿宋_GB2312" w:hAnsi="仿宋_GB2312" w:eastAsia="仿宋_GB2312" w:cs="仿宋_GB2312"/>
          <w:b/>
          <w:bCs/>
          <w:kern w:val="2"/>
          <w:sz w:val="28"/>
          <w:szCs w:val="28"/>
          <w:lang w:eastAsia="zh-CN"/>
        </w:rPr>
        <w:t>岗位</w:t>
      </w:r>
      <w:r>
        <w:rPr>
          <w:rFonts w:hint="eastAsia" w:ascii="仿宋_GB2312" w:hAnsi="仿宋_GB2312" w:eastAsia="仿宋_GB2312" w:cs="仿宋_GB2312"/>
          <w:b/>
          <w:bCs/>
          <w:kern w:val="2"/>
          <w:sz w:val="28"/>
          <w:szCs w:val="28"/>
        </w:rPr>
        <w:t>实习材料提交与存档要求</w:t>
      </w:r>
    </w:p>
    <w:tbl>
      <w:tblPr>
        <w:tblStyle w:val="9"/>
        <w:tblW w:w="95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1920"/>
        <w:gridCol w:w="1080"/>
        <w:gridCol w:w="876"/>
        <w:gridCol w:w="894"/>
        <w:gridCol w:w="79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634" w:type="dxa"/>
            <w:vMerge w:val="restart"/>
            <w:vAlign w:val="center"/>
          </w:tcPr>
          <w:p>
            <w:pPr>
              <w:widowControl/>
              <w:spacing w:line="260" w:lineRule="exact"/>
              <w:jc w:val="center"/>
              <w:rPr>
                <w:rFonts w:ascii="仿宋_GB2312" w:hAnsi="仿宋" w:eastAsia="仿宋_GB2312" w:cs="宋体"/>
                <w:b/>
                <w:kern w:val="0"/>
                <w:sz w:val="21"/>
                <w:szCs w:val="21"/>
              </w:rPr>
            </w:pPr>
            <w:r>
              <w:rPr>
                <w:rFonts w:hint="eastAsia" w:ascii="仿宋_GB2312" w:hAnsi="仿宋" w:eastAsia="仿宋_GB2312" w:cs="宋体"/>
                <w:b/>
                <w:kern w:val="0"/>
                <w:sz w:val="21"/>
                <w:szCs w:val="21"/>
              </w:rPr>
              <w:t>序号</w:t>
            </w:r>
          </w:p>
        </w:tc>
        <w:tc>
          <w:tcPr>
            <w:tcW w:w="1920" w:type="dxa"/>
            <w:vMerge w:val="restart"/>
            <w:vAlign w:val="center"/>
          </w:tcPr>
          <w:p>
            <w:pPr>
              <w:widowControl/>
              <w:spacing w:line="260" w:lineRule="exact"/>
              <w:jc w:val="center"/>
              <w:rPr>
                <w:rFonts w:ascii="仿宋_GB2312" w:hAnsi="仿宋" w:eastAsia="仿宋_GB2312" w:cs="宋体"/>
                <w:b/>
                <w:kern w:val="0"/>
                <w:sz w:val="21"/>
                <w:szCs w:val="21"/>
              </w:rPr>
            </w:pPr>
            <w:r>
              <w:rPr>
                <w:rFonts w:hint="eastAsia" w:ascii="仿宋_GB2312" w:hAnsi="仿宋" w:eastAsia="仿宋_GB2312" w:cs="宋体"/>
                <w:b/>
                <w:kern w:val="0"/>
                <w:sz w:val="21"/>
                <w:szCs w:val="21"/>
              </w:rPr>
              <w:t>材料名称</w:t>
            </w:r>
          </w:p>
        </w:tc>
        <w:tc>
          <w:tcPr>
            <w:tcW w:w="1080" w:type="dxa"/>
            <w:vMerge w:val="restart"/>
            <w:vAlign w:val="center"/>
          </w:tcPr>
          <w:p>
            <w:pPr>
              <w:widowControl/>
              <w:spacing w:line="260" w:lineRule="exact"/>
              <w:ind w:firstLine="105" w:firstLineChars="50"/>
              <w:jc w:val="center"/>
              <w:rPr>
                <w:rFonts w:ascii="仿宋_GB2312" w:hAnsi="仿宋" w:eastAsia="仿宋_GB2312" w:cs="宋体"/>
                <w:b/>
                <w:kern w:val="0"/>
                <w:sz w:val="21"/>
                <w:szCs w:val="21"/>
              </w:rPr>
            </w:pPr>
            <w:r>
              <w:rPr>
                <w:rFonts w:hint="eastAsia" w:ascii="仿宋_GB2312" w:hAnsi="仿宋" w:eastAsia="仿宋_GB2312" w:cs="宋体"/>
                <w:b/>
                <w:kern w:val="0"/>
                <w:sz w:val="21"/>
                <w:szCs w:val="21"/>
              </w:rPr>
              <w:t>提交人</w:t>
            </w:r>
            <w:r>
              <w:rPr>
                <w:rFonts w:ascii="仿宋_GB2312" w:hAnsi="仿宋" w:eastAsia="仿宋_GB2312" w:cs="宋体"/>
                <w:b/>
                <w:kern w:val="0"/>
                <w:sz w:val="21"/>
                <w:szCs w:val="21"/>
              </w:rPr>
              <w:t>(</w:t>
            </w:r>
            <w:r>
              <w:rPr>
                <w:rFonts w:hint="eastAsia" w:ascii="仿宋_GB2312" w:hAnsi="仿宋" w:eastAsia="仿宋_GB2312" w:cs="宋体"/>
                <w:b/>
                <w:kern w:val="0"/>
                <w:sz w:val="21"/>
                <w:szCs w:val="21"/>
              </w:rPr>
              <w:t>部门</w:t>
            </w:r>
            <w:r>
              <w:rPr>
                <w:rFonts w:ascii="仿宋_GB2312" w:hAnsi="仿宋" w:eastAsia="仿宋_GB2312" w:cs="宋体"/>
                <w:b/>
                <w:kern w:val="0"/>
                <w:sz w:val="21"/>
                <w:szCs w:val="21"/>
              </w:rPr>
              <w:t>)</w:t>
            </w:r>
          </w:p>
        </w:tc>
        <w:tc>
          <w:tcPr>
            <w:tcW w:w="876" w:type="dxa"/>
            <w:vMerge w:val="restart"/>
            <w:vAlign w:val="center"/>
          </w:tcPr>
          <w:p>
            <w:pPr>
              <w:widowControl/>
              <w:spacing w:line="260" w:lineRule="exact"/>
              <w:jc w:val="center"/>
              <w:rPr>
                <w:rFonts w:ascii="仿宋_GB2312" w:hAnsi="仿宋" w:eastAsia="仿宋_GB2312" w:cs="宋体"/>
                <w:b/>
                <w:kern w:val="0"/>
                <w:sz w:val="21"/>
                <w:szCs w:val="21"/>
              </w:rPr>
            </w:pPr>
            <w:r>
              <w:rPr>
                <w:rFonts w:hint="eastAsia" w:ascii="仿宋_GB2312" w:hAnsi="仿宋" w:eastAsia="仿宋_GB2312" w:cs="宋体"/>
                <w:b/>
                <w:kern w:val="0"/>
                <w:sz w:val="21"/>
                <w:szCs w:val="21"/>
              </w:rPr>
              <w:t>收集人或部门</w:t>
            </w:r>
          </w:p>
        </w:tc>
        <w:tc>
          <w:tcPr>
            <w:tcW w:w="1689" w:type="dxa"/>
            <w:gridSpan w:val="2"/>
            <w:vAlign w:val="center"/>
          </w:tcPr>
          <w:p>
            <w:pPr>
              <w:widowControl/>
              <w:spacing w:line="260" w:lineRule="exact"/>
              <w:jc w:val="center"/>
              <w:rPr>
                <w:rFonts w:hint="eastAsia" w:ascii="仿宋_GB2312" w:hAnsi="仿宋" w:eastAsia="仿宋_GB2312" w:cs="宋体"/>
                <w:b/>
                <w:kern w:val="0"/>
                <w:sz w:val="21"/>
                <w:szCs w:val="21"/>
              </w:rPr>
            </w:pPr>
            <w:r>
              <w:rPr>
                <w:rFonts w:hint="eastAsia" w:ascii="仿宋_GB2312" w:hAnsi="仿宋" w:eastAsia="仿宋_GB2312" w:cs="宋体"/>
                <w:b/>
                <w:kern w:val="0"/>
                <w:sz w:val="21"/>
                <w:szCs w:val="21"/>
              </w:rPr>
              <w:t>材料存档</w:t>
            </w:r>
          </w:p>
          <w:p>
            <w:pPr>
              <w:widowControl/>
              <w:spacing w:line="260" w:lineRule="exact"/>
              <w:jc w:val="center"/>
              <w:rPr>
                <w:rFonts w:ascii="仿宋_GB2312" w:hAnsi="仿宋" w:eastAsia="仿宋_GB2312" w:cs="宋体"/>
                <w:b/>
                <w:kern w:val="0"/>
                <w:sz w:val="21"/>
                <w:szCs w:val="21"/>
              </w:rPr>
            </w:pPr>
            <w:r>
              <w:rPr>
                <w:rFonts w:hint="eastAsia" w:ascii="仿宋_GB2312" w:hAnsi="仿宋" w:eastAsia="仿宋_GB2312" w:cs="宋体"/>
                <w:b/>
                <w:kern w:val="0"/>
                <w:sz w:val="21"/>
                <w:szCs w:val="21"/>
              </w:rPr>
              <w:t>部门</w:t>
            </w:r>
          </w:p>
        </w:tc>
        <w:tc>
          <w:tcPr>
            <w:tcW w:w="3397" w:type="dxa"/>
            <w:vMerge w:val="restart"/>
            <w:vAlign w:val="center"/>
          </w:tcPr>
          <w:p>
            <w:pPr>
              <w:widowControl/>
              <w:spacing w:line="260" w:lineRule="exact"/>
              <w:jc w:val="center"/>
              <w:rPr>
                <w:rFonts w:ascii="仿宋_GB2312" w:hAnsi="仿宋" w:eastAsia="仿宋_GB2312" w:cs="宋体"/>
                <w:b/>
                <w:kern w:val="0"/>
                <w:sz w:val="21"/>
                <w:szCs w:val="21"/>
              </w:rPr>
            </w:pPr>
            <w:r>
              <w:rPr>
                <w:rFonts w:hint="eastAsia" w:ascii="仿宋_GB2312" w:hAnsi="仿宋" w:eastAsia="仿宋_GB2312" w:cs="宋体"/>
                <w:b/>
                <w:kern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634" w:type="dxa"/>
            <w:vMerge w:val="continue"/>
            <w:vAlign w:val="center"/>
          </w:tcPr>
          <w:p>
            <w:pPr>
              <w:widowControl/>
              <w:spacing w:line="260" w:lineRule="exact"/>
              <w:jc w:val="left"/>
              <w:rPr>
                <w:rFonts w:ascii="仿宋_GB2312" w:hAnsi="仿宋" w:eastAsia="仿宋_GB2312" w:cs="宋体"/>
                <w:b/>
                <w:kern w:val="0"/>
                <w:sz w:val="21"/>
                <w:szCs w:val="21"/>
              </w:rPr>
            </w:pPr>
          </w:p>
        </w:tc>
        <w:tc>
          <w:tcPr>
            <w:tcW w:w="1920" w:type="dxa"/>
            <w:vMerge w:val="continue"/>
            <w:vAlign w:val="center"/>
          </w:tcPr>
          <w:p>
            <w:pPr>
              <w:widowControl/>
              <w:spacing w:line="260" w:lineRule="exact"/>
              <w:jc w:val="left"/>
              <w:rPr>
                <w:rFonts w:ascii="仿宋_GB2312" w:hAnsi="仿宋" w:eastAsia="仿宋_GB2312" w:cs="宋体"/>
                <w:b/>
                <w:kern w:val="0"/>
                <w:sz w:val="21"/>
                <w:szCs w:val="21"/>
              </w:rPr>
            </w:pPr>
          </w:p>
        </w:tc>
        <w:tc>
          <w:tcPr>
            <w:tcW w:w="1080" w:type="dxa"/>
            <w:vMerge w:val="continue"/>
            <w:vAlign w:val="center"/>
          </w:tcPr>
          <w:p>
            <w:pPr>
              <w:widowControl/>
              <w:spacing w:line="260" w:lineRule="exact"/>
              <w:jc w:val="left"/>
              <w:rPr>
                <w:rFonts w:ascii="仿宋_GB2312" w:hAnsi="仿宋" w:eastAsia="仿宋_GB2312" w:cs="宋体"/>
                <w:b/>
                <w:kern w:val="0"/>
                <w:sz w:val="21"/>
                <w:szCs w:val="21"/>
              </w:rPr>
            </w:pPr>
          </w:p>
        </w:tc>
        <w:tc>
          <w:tcPr>
            <w:tcW w:w="876" w:type="dxa"/>
            <w:vMerge w:val="continue"/>
            <w:vAlign w:val="center"/>
          </w:tcPr>
          <w:p>
            <w:pPr>
              <w:widowControl/>
              <w:spacing w:line="260" w:lineRule="exact"/>
              <w:jc w:val="left"/>
              <w:rPr>
                <w:rFonts w:ascii="仿宋_GB2312" w:hAnsi="仿宋" w:eastAsia="仿宋_GB2312" w:cs="宋体"/>
                <w:b/>
                <w:kern w:val="0"/>
                <w:sz w:val="21"/>
                <w:szCs w:val="21"/>
              </w:rPr>
            </w:pPr>
          </w:p>
        </w:tc>
        <w:tc>
          <w:tcPr>
            <w:tcW w:w="894"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教务处</w:t>
            </w:r>
          </w:p>
        </w:tc>
        <w:tc>
          <w:tcPr>
            <w:tcW w:w="795"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二级学院</w:t>
            </w:r>
          </w:p>
        </w:tc>
        <w:tc>
          <w:tcPr>
            <w:tcW w:w="3397" w:type="dxa"/>
            <w:vMerge w:val="continue"/>
            <w:vAlign w:val="center"/>
          </w:tcPr>
          <w:p>
            <w:pPr>
              <w:widowControl/>
              <w:spacing w:line="260" w:lineRule="exact"/>
              <w:jc w:val="left"/>
              <w:rPr>
                <w:rFonts w:ascii="仿宋_GB2312" w:hAnsi="仿宋" w:eastAsia="仿宋_GB2312" w:cs="宋体"/>
                <w:b/>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634" w:type="dxa"/>
            <w:vAlign w:val="center"/>
          </w:tcPr>
          <w:p>
            <w:pPr>
              <w:widowControl/>
              <w:spacing w:line="260" w:lineRule="exact"/>
              <w:jc w:val="center"/>
              <w:rPr>
                <w:rFonts w:ascii="仿宋_GB2312" w:hAnsi="仿宋" w:eastAsia="仿宋_GB2312" w:cs="宋体"/>
                <w:kern w:val="0"/>
                <w:sz w:val="21"/>
                <w:szCs w:val="21"/>
              </w:rPr>
            </w:pPr>
            <w:r>
              <w:rPr>
                <w:rFonts w:ascii="仿宋_GB2312" w:hAnsi="仿宋" w:eastAsia="仿宋_GB2312" w:cs="宋体"/>
                <w:kern w:val="0"/>
                <w:sz w:val="21"/>
                <w:szCs w:val="21"/>
              </w:rPr>
              <w:t>1</w:t>
            </w:r>
          </w:p>
        </w:tc>
        <w:tc>
          <w:tcPr>
            <w:tcW w:w="1920"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lang w:val="en-US" w:eastAsia="zh-CN"/>
              </w:rPr>
              <w:t>二级学院毕业岗位</w:t>
            </w:r>
            <w:r>
              <w:rPr>
                <w:rFonts w:hint="eastAsia" w:ascii="仿宋_GB2312" w:hAnsi="仿宋" w:eastAsia="仿宋_GB2312" w:cs="宋体"/>
                <w:kern w:val="0"/>
                <w:sz w:val="21"/>
                <w:szCs w:val="21"/>
              </w:rPr>
              <w:t>实习实施方案</w:t>
            </w:r>
          </w:p>
        </w:tc>
        <w:tc>
          <w:tcPr>
            <w:tcW w:w="1080"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二级学院</w:t>
            </w:r>
          </w:p>
        </w:tc>
        <w:tc>
          <w:tcPr>
            <w:tcW w:w="876"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教务处</w:t>
            </w:r>
          </w:p>
        </w:tc>
        <w:tc>
          <w:tcPr>
            <w:tcW w:w="894"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795"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3397" w:type="dxa"/>
            <w:vAlign w:val="center"/>
          </w:tcPr>
          <w:p>
            <w:pPr>
              <w:widowControl/>
              <w:spacing w:line="260" w:lineRule="exact"/>
              <w:jc w:val="both"/>
              <w:rPr>
                <w:rFonts w:ascii="仿宋_GB2312" w:hAnsi="仿宋" w:eastAsia="仿宋_GB2312" w:cs="宋体"/>
                <w:kern w:val="0"/>
                <w:sz w:val="21"/>
                <w:szCs w:val="21"/>
              </w:rPr>
            </w:pPr>
            <w:r>
              <w:rPr>
                <w:rFonts w:hint="eastAsia" w:ascii="仿宋_GB2312" w:hAnsi="仿宋" w:eastAsia="仿宋_GB2312" w:cs="宋体"/>
                <w:kern w:val="0"/>
                <w:sz w:val="21"/>
                <w:szCs w:val="21"/>
              </w:rPr>
              <w:t>需交纸质</w:t>
            </w:r>
            <w:r>
              <w:rPr>
                <w:rFonts w:hint="eastAsia" w:ascii="仿宋_GB2312" w:hAnsi="仿宋" w:eastAsia="仿宋_GB2312" w:cs="宋体"/>
                <w:kern w:val="0"/>
                <w:sz w:val="21"/>
                <w:szCs w:val="21"/>
                <w:lang w:val="en-US" w:eastAsia="zh-CN"/>
              </w:rPr>
              <w:t>版（签字及盖章）</w:t>
            </w:r>
            <w:r>
              <w:rPr>
                <w:rFonts w:hint="eastAsia" w:ascii="仿宋_GB2312" w:hAnsi="仿宋" w:eastAsia="仿宋_GB2312" w:cs="宋体"/>
                <w:kern w:val="0"/>
                <w:sz w:val="21"/>
                <w:szCs w:val="21"/>
              </w:rPr>
              <w:t>与电子版，实习前提交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634" w:type="dxa"/>
            <w:vAlign w:val="center"/>
          </w:tcPr>
          <w:p>
            <w:pPr>
              <w:widowControl/>
              <w:spacing w:line="260" w:lineRule="exact"/>
              <w:jc w:val="center"/>
              <w:rPr>
                <w:rFonts w:ascii="仿宋_GB2312" w:hAnsi="仿宋" w:eastAsia="仿宋_GB2312" w:cs="宋体"/>
                <w:kern w:val="0"/>
                <w:sz w:val="21"/>
                <w:szCs w:val="21"/>
              </w:rPr>
            </w:pPr>
            <w:r>
              <w:rPr>
                <w:rFonts w:ascii="仿宋_GB2312" w:hAnsi="仿宋" w:eastAsia="仿宋_GB2312" w:cs="宋体"/>
                <w:kern w:val="0"/>
                <w:sz w:val="21"/>
                <w:szCs w:val="21"/>
              </w:rPr>
              <w:t>2</w:t>
            </w:r>
          </w:p>
        </w:tc>
        <w:tc>
          <w:tcPr>
            <w:tcW w:w="1920"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专业实习计划</w:t>
            </w:r>
          </w:p>
        </w:tc>
        <w:tc>
          <w:tcPr>
            <w:tcW w:w="1080"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教研室</w:t>
            </w:r>
          </w:p>
        </w:tc>
        <w:tc>
          <w:tcPr>
            <w:tcW w:w="876"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二级学院</w:t>
            </w:r>
          </w:p>
        </w:tc>
        <w:tc>
          <w:tcPr>
            <w:tcW w:w="894"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795"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3397" w:type="dxa"/>
            <w:vAlign w:val="center"/>
          </w:tcPr>
          <w:p>
            <w:pPr>
              <w:widowControl/>
              <w:spacing w:line="260" w:lineRule="exact"/>
              <w:jc w:val="both"/>
              <w:rPr>
                <w:rFonts w:ascii="仿宋_GB2312" w:hAnsi="仿宋" w:eastAsia="仿宋_GB2312" w:cs="宋体"/>
                <w:kern w:val="0"/>
                <w:sz w:val="21"/>
                <w:szCs w:val="21"/>
              </w:rPr>
            </w:pPr>
            <w:r>
              <w:rPr>
                <w:rFonts w:hint="eastAsia" w:ascii="仿宋_GB2312" w:hAnsi="仿宋" w:eastAsia="仿宋_GB2312" w:cs="宋体"/>
                <w:kern w:val="0"/>
                <w:sz w:val="21"/>
                <w:szCs w:val="21"/>
              </w:rPr>
              <w:t>需交纸质</w:t>
            </w:r>
            <w:r>
              <w:rPr>
                <w:rFonts w:hint="eastAsia" w:ascii="仿宋_GB2312" w:hAnsi="仿宋" w:eastAsia="仿宋_GB2312" w:cs="宋体"/>
                <w:kern w:val="0"/>
                <w:sz w:val="21"/>
                <w:szCs w:val="21"/>
                <w:lang w:val="en-US" w:eastAsia="zh-CN"/>
              </w:rPr>
              <w:t>版（签字及盖章）</w:t>
            </w:r>
            <w:r>
              <w:rPr>
                <w:rFonts w:hint="eastAsia" w:ascii="仿宋_GB2312" w:hAnsi="仿宋" w:eastAsia="仿宋_GB2312" w:cs="宋体"/>
                <w:kern w:val="0"/>
                <w:sz w:val="21"/>
                <w:szCs w:val="21"/>
              </w:rPr>
              <w:t>与电子版</w:t>
            </w:r>
            <w:r>
              <w:rPr>
                <w:rFonts w:hint="eastAsia" w:ascii="仿宋_GB2312" w:hAnsi="仿宋" w:eastAsia="仿宋_GB2312" w:cs="宋体"/>
                <w:kern w:val="0"/>
                <w:sz w:val="21"/>
                <w:szCs w:val="21"/>
                <w:lang w:eastAsia="zh-CN"/>
              </w:rPr>
              <w:t>，</w:t>
            </w:r>
            <w:r>
              <w:rPr>
                <w:rFonts w:hint="eastAsia" w:ascii="仿宋_GB2312" w:hAnsi="仿宋" w:eastAsia="仿宋_GB2312" w:cs="宋体"/>
                <w:kern w:val="0"/>
                <w:sz w:val="21"/>
                <w:szCs w:val="21"/>
                <w:lang w:val="en-US" w:eastAsia="zh-CN"/>
              </w:rPr>
              <w:t>并</w:t>
            </w:r>
            <w:r>
              <w:rPr>
                <w:rFonts w:hint="eastAsia" w:ascii="仿宋_GB2312" w:hAnsi="仿宋" w:eastAsia="仿宋_GB2312" w:cs="宋体"/>
                <w:kern w:val="0"/>
                <w:sz w:val="21"/>
                <w:szCs w:val="21"/>
              </w:rPr>
              <w:t>上传系统，实习前提交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34"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3</w:t>
            </w:r>
          </w:p>
        </w:tc>
        <w:tc>
          <w:tcPr>
            <w:tcW w:w="1920"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学生</w:t>
            </w:r>
            <w:r>
              <w:rPr>
                <w:rFonts w:hint="eastAsia" w:ascii="仿宋_GB2312" w:hAnsi="仿宋" w:eastAsia="仿宋_GB2312" w:cs="宋体"/>
                <w:kern w:val="0"/>
                <w:sz w:val="21"/>
                <w:szCs w:val="21"/>
                <w:lang w:val="en-US" w:eastAsia="zh-CN"/>
              </w:rPr>
              <w:t>毕业</w:t>
            </w:r>
            <w:r>
              <w:rPr>
                <w:rFonts w:hint="eastAsia" w:ascii="仿宋_GB2312" w:hAnsi="仿宋" w:eastAsia="仿宋_GB2312" w:cs="宋体"/>
                <w:kern w:val="0"/>
                <w:sz w:val="21"/>
                <w:szCs w:val="21"/>
              </w:rPr>
              <w:t>实习成绩</w:t>
            </w:r>
          </w:p>
        </w:tc>
        <w:tc>
          <w:tcPr>
            <w:tcW w:w="1080"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二级学院</w:t>
            </w:r>
          </w:p>
        </w:tc>
        <w:tc>
          <w:tcPr>
            <w:tcW w:w="876"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教务处</w:t>
            </w:r>
          </w:p>
        </w:tc>
        <w:tc>
          <w:tcPr>
            <w:tcW w:w="894"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795"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3397" w:type="dxa"/>
            <w:vAlign w:val="center"/>
          </w:tcPr>
          <w:p>
            <w:pPr>
              <w:widowControl/>
              <w:spacing w:line="260" w:lineRule="exact"/>
              <w:jc w:val="both"/>
              <w:rPr>
                <w:rFonts w:ascii="仿宋_GB2312" w:hAnsi="仿宋" w:eastAsia="仿宋_GB2312" w:cs="宋体"/>
                <w:kern w:val="0"/>
                <w:sz w:val="21"/>
                <w:szCs w:val="21"/>
              </w:rPr>
            </w:pPr>
            <w:r>
              <w:rPr>
                <w:rFonts w:hint="eastAsia" w:ascii="仿宋_GB2312" w:hAnsi="仿宋" w:eastAsia="仿宋_GB2312" w:cs="宋体"/>
                <w:kern w:val="0"/>
                <w:sz w:val="21"/>
                <w:szCs w:val="21"/>
              </w:rPr>
              <w:t>实习考核评价后提交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34"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4</w:t>
            </w:r>
          </w:p>
        </w:tc>
        <w:tc>
          <w:tcPr>
            <w:tcW w:w="1920"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二级学院、各专业实习工作总结</w:t>
            </w:r>
          </w:p>
        </w:tc>
        <w:tc>
          <w:tcPr>
            <w:tcW w:w="1080" w:type="dxa"/>
            <w:vAlign w:val="center"/>
          </w:tcPr>
          <w:p>
            <w:pPr>
              <w:widowControl/>
              <w:spacing w:line="260" w:lineRule="exact"/>
              <w:jc w:val="left"/>
              <w:rPr>
                <w:rFonts w:hint="eastAsia" w:ascii="仿宋_GB2312" w:hAnsi="仿宋" w:eastAsia="仿宋_GB2312" w:cs="宋体"/>
                <w:kern w:val="0"/>
                <w:sz w:val="21"/>
                <w:szCs w:val="21"/>
                <w:lang w:eastAsia="zh-CN"/>
              </w:rPr>
            </w:pPr>
            <w:r>
              <w:rPr>
                <w:rFonts w:hint="eastAsia" w:ascii="仿宋_GB2312" w:hAnsi="仿宋" w:eastAsia="仿宋_GB2312" w:cs="宋体"/>
                <w:kern w:val="0"/>
                <w:sz w:val="21"/>
                <w:szCs w:val="21"/>
              </w:rPr>
              <w:t>教研室</w:t>
            </w:r>
            <w:r>
              <w:rPr>
                <w:rFonts w:hint="eastAsia" w:ascii="仿宋_GB2312" w:hAnsi="仿宋" w:eastAsia="仿宋_GB2312" w:cs="宋体"/>
                <w:kern w:val="0"/>
                <w:sz w:val="21"/>
                <w:szCs w:val="21"/>
                <w:lang w:eastAsia="zh-CN"/>
              </w:rPr>
              <w:t>、</w:t>
            </w:r>
          </w:p>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二级学院</w:t>
            </w:r>
          </w:p>
        </w:tc>
        <w:tc>
          <w:tcPr>
            <w:tcW w:w="876"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教务处</w:t>
            </w:r>
          </w:p>
        </w:tc>
        <w:tc>
          <w:tcPr>
            <w:tcW w:w="894"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795"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3397" w:type="dxa"/>
            <w:vAlign w:val="center"/>
          </w:tcPr>
          <w:p>
            <w:pPr>
              <w:widowControl/>
              <w:spacing w:line="260" w:lineRule="exact"/>
              <w:jc w:val="both"/>
              <w:rPr>
                <w:rFonts w:ascii="仿宋_GB2312" w:hAnsi="仿宋" w:eastAsia="仿宋_GB2312" w:cs="宋体"/>
                <w:kern w:val="0"/>
                <w:sz w:val="21"/>
                <w:szCs w:val="21"/>
              </w:rPr>
            </w:pPr>
            <w:r>
              <w:rPr>
                <w:rFonts w:hint="eastAsia" w:ascii="仿宋_GB2312" w:hAnsi="仿宋" w:eastAsia="仿宋_GB2312" w:cs="宋体"/>
                <w:kern w:val="0"/>
                <w:sz w:val="21"/>
                <w:szCs w:val="21"/>
              </w:rPr>
              <w:t>需交纸质</w:t>
            </w:r>
            <w:r>
              <w:rPr>
                <w:rFonts w:hint="eastAsia" w:ascii="仿宋_GB2312" w:hAnsi="仿宋" w:eastAsia="仿宋_GB2312" w:cs="宋体"/>
                <w:kern w:val="0"/>
                <w:sz w:val="21"/>
                <w:szCs w:val="21"/>
                <w:lang w:val="en-US" w:eastAsia="zh-CN"/>
              </w:rPr>
              <w:t>版（签字及盖章）</w:t>
            </w:r>
            <w:r>
              <w:rPr>
                <w:rFonts w:hint="eastAsia" w:ascii="仿宋_GB2312" w:hAnsi="仿宋" w:eastAsia="仿宋_GB2312" w:cs="宋体"/>
                <w:kern w:val="0"/>
                <w:sz w:val="21"/>
                <w:szCs w:val="21"/>
              </w:rPr>
              <w:t>与电子版，实习结束后提交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5" w:hRule="atLeast"/>
          <w:jc w:val="center"/>
        </w:trPr>
        <w:tc>
          <w:tcPr>
            <w:tcW w:w="634"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5</w:t>
            </w:r>
          </w:p>
        </w:tc>
        <w:tc>
          <w:tcPr>
            <w:tcW w:w="1920" w:type="dxa"/>
            <w:vAlign w:val="center"/>
          </w:tcPr>
          <w:p>
            <w:pPr>
              <w:widowControl/>
              <w:spacing w:line="260" w:lineRule="exact"/>
              <w:jc w:val="left"/>
              <w:rPr>
                <w:rFonts w:hint="default" w:ascii="仿宋_GB2312" w:hAnsi="仿宋" w:eastAsia="仿宋_GB2312" w:cs="宋体"/>
                <w:kern w:val="0"/>
                <w:sz w:val="21"/>
                <w:szCs w:val="21"/>
                <w:lang w:val="en-US" w:eastAsia="zh-CN"/>
              </w:rPr>
            </w:pPr>
            <w:r>
              <w:rPr>
                <w:rFonts w:hint="eastAsia" w:ascii="仿宋_GB2312" w:hAnsi="仿宋" w:eastAsia="仿宋_GB2312" w:cs="宋体"/>
                <w:kern w:val="0"/>
                <w:sz w:val="21"/>
                <w:szCs w:val="21"/>
              </w:rPr>
              <w:t>学生</w:t>
            </w:r>
            <w:r>
              <w:rPr>
                <w:rFonts w:hint="eastAsia" w:ascii="仿宋_GB2312" w:hAnsi="仿宋" w:eastAsia="仿宋_GB2312" w:cs="宋体"/>
                <w:kern w:val="0"/>
                <w:sz w:val="21"/>
                <w:szCs w:val="21"/>
                <w:lang w:val="en-US" w:eastAsia="zh-CN"/>
              </w:rPr>
              <w:t>岗位</w:t>
            </w:r>
            <w:r>
              <w:rPr>
                <w:rFonts w:hint="eastAsia" w:ascii="仿宋_GB2312" w:hAnsi="仿宋" w:eastAsia="仿宋_GB2312" w:cs="宋体"/>
                <w:kern w:val="0"/>
                <w:sz w:val="21"/>
                <w:szCs w:val="21"/>
              </w:rPr>
              <w:t>实习</w:t>
            </w:r>
            <w:r>
              <w:rPr>
                <w:rFonts w:hint="eastAsia" w:ascii="仿宋_GB2312" w:hAnsi="仿宋" w:eastAsia="仿宋_GB2312" w:cs="宋体"/>
                <w:kern w:val="0"/>
                <w:sz w:val="21"/>
                <w:szCs w:val="21"/>
                <w:lang w:val="en-US" w:eastAsia="zh-CN"/>
              </w:rPr>
              <w:t>三方</w:t>
            </w:r>
            <w:r>
              <w:rPr>
                <w:rFonts w:hint="eastAsia" w:ascii="仿宋_GB2312" w:hAnsi="仿宋" w:eastAsia="仿宋_GB2312" w:cs="宋体"/>
                <w:kern w:val="0"/>
                <w:sz w:val="21"/>
                <w:szCs w:val="21"/>
              </w:rPr>
              <w:t>协议</w:t>
            </w:r>
            <w:r>
              <w:rPr>
                <w:rFonts w:hint="eastAsia" w:ascii="仿宋_GB2312" w:hAnsi="仿宋" w:eastAsia="仿宋_GB2312" w:cs="宋体"/>
                <w:kern w:val="0"/>
                <w:sz w:val="21"/>
                <w:szCs w:val="21"/>
                <w:lang w:eastAsia="zh-CN"/>
              </w:rPr>
              <w:t>（</w:t>
            </w:r>
            <w:r>
              <w:rPr>
                <w:rFonts w:hint="eastAsia" w:ascii="仿宋_GB2312" w:hAnsi="仿宋" w:eastAsia="仿宋_GB2312" w:cs="宋体"/>
                <w:kern w:val="0"/>
                <w:sz w:val="21"/>
                <w:szCs w:val="21"/>
                <w:lang w:val="en-US" w:eastAsia="zh-CN"/>
              </w:rPr>
              <w:t>含实习知情同意书）</w:t>
            </w:r>
          </w:p>
        </w:tc>
        <w:tc>
          <w:tcPr>
            <w:tcW w:w="1080"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学生</w:t>
            </w:r>
          </w:p>
        </w:tc>
        <w:tc>
          <w:tcPr>
            <w:tcW w:w="876"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指导教师</w:t>
            </w:r>
          </w:p>
        </w:tc>
        <w:tc>
          <w:tcPr>
            <w:tcW w:w="894"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795"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3397" w:type="dxa"/>
            <w:vAlign w:val="center"/>
          </w:tcPr>
          <w:p>
            <w:pPr>
              <w:widowControl/>
              <w:spacing w:line="260" w:lineRule="exact"/>
              <w:jc w:val="both"/>
              <w:rPr>
                <w:rFonts w:ascii="仿宋_GB2312" w:hAnsi="仿宋" w:eastAsia="仿宋_GB2312" w:cs="宋体"/>
                <w:kern w:val="0"/>
                <w:sz w:val="21"/>
                <w:szCs w:val="21"/>
              </w:rPr>
            </w:pPr>
            <w:r>
              <w:rPr>
                <w:rFonts w:hint="eastAsia" w:ascii="仿宋_GB2312" w:hAnsi="仿宋" w:eastAsia="仿宋_GB2312" w:cs="宋体"/>
                <w:kern w:val="0"/>
                <w:sz w:val="21"/>
                <w:szCs w:val="21"/>
                <w:lang w:val="en-US" w:eastAsia="zh-CN"/>
              </w:rPr>
              <w:t>提</w:t>
            </w:r>
            <w:r>
              <w:rPr>
                <w:rFonts w:hint="eastAsia" w:ascii="仿宋_GB2312" w:hAnsi="仿宋" w:eastAsia="仿宋_GB2312" w:cs="宋体"/>
                <w:kern w:val="0"/>
                <w:sz w:val="21"/>
                <w:szCs w:val="21"/>
              </w:rPr>
              <w:t>交</w:t>
            </w:r>
            <w:r>
              <w:rPr>
                <w:rFonts w:hint="eastAsia" w:ascii="仿宋_GB2312" w:hAnsi="仿宋" w:eastAsia="仿宋_GB2312" w:cs="宋体"/>
                <w:kern w:val="0"/>
                <w:sz w:val="21"/>
                <w:szCs w:val="21"/>
                <w:lang w:val="en-US" w:eastAsia="zh-CN"/>
              </w:rPr>
              <w:t>PDF扫描电子版(清晰规范齐全)，</w:t>
            </w:r>
            <w:r>
              <w:rPr>
                <w:rFonts w:hint="eastAsia" w:ascii="仿宋_GB2312" w:hAnsi="仿宋" w:eastAsia="仿宋_GB2312" w:cs="宋体"/>
                <w:kern w:val="0"/>
                <w:sz w:val="21"/>
                <w:szCs w:val="21"/>
              </w:rPr>
              <w:t>并上传</w:t>
            </w:r>
            <w:r>
              <w:rPr>
                <w:rFonts w:hint="eastAsia" w:ascii="仿宋_GB2312" w:hAnsi="仿宋" w:eastAsia="仿宋_GB2312" w:cs="宋体"/>
                <w:kern w:val="0"/>
                <w:sz w:val="21"/>
                <w:szCs w:val="21"/>
                <w:lang w:val="en-US" w:eastAsia="zh-CN"/>
              </w:rPr>
              <w:t>实习</w:t>
            </w:r>
            <w:r>
              <w:rPr>
                <w:rFonts w:hint="eastAsia" w:ascii="仿宋_GB2312" w:hAnsi="仿宋" w:eastAsia="仿宋_GB2312" w:cs="宋体"/>
                <w:kern w:val="0"/>
                <w:sz w:val="21"/>
                <w:szCs w:val="21"/>
              </w:rPr>
              <w:t>系统教师审核通过</w:t>
            </w:r>
            <w:r>
              <w:rPr>
                <w:rFonts w:hint="eastAsia" w:ascii="仿宋_GB2312" w:hAnsi="仿宋" w:eastAsia="仿宋_GB2312" w:cs="宋体"/>
                <w:kern w:val="0"/>
                <w:sz w:val="21"/>
                <w:szCs w:val="21"/>
                <w:lang w:eastAsia="zh-CN"/>
              </w:rPr>
              <w:t>。</w:t>
            </w:r>
            <w:r>
              <w:rPr>
                <w:rFonts w:hint="eastAsia" w:ascii="仿宋_GB2312" w:hAnsi="仿宋" w:eastAsia="仿宋_GB2312" w:cs="宋体"/>
                <w:b/>
                <w:bCs/>
                <w:kern w:val="0"/>
                <w:sz w:val="21"/>
                <w:szCs w:val="21"/>
                <w:lang w:val="en-US" w:eastAsia="zh-CN"/>
              </w:rPr>
              <w:t>学生提交电子文档统一命名：学号+学生姓名+班级+实习协议，</w:t>
            </w:r>
            <w:r>
              <w:rPr>
                <w:rFonts w:hint="eastAsia" w:ascii="仿宋_GB2312" w:hAnsi="仿宋" w:eastAsia="仿宋_GB2312" w:cs="宋体"/>
                <w:kern w:val="0"/>
                <w:sz w:val="21"/>
                <w:szCs w:val="21"/>
                <w:lang w:val="en-US" w:eastAsia="zh-CN"/>
              </w:rPr>
              <w:t>各专业以班级为单位收集汇总交二级学院，再交教务处</w:t>
            </w:r>
            <w:r>
              <w:rPr>
                <w:rFonts w:ascii="仿宋_GB2312" w:hAnsi="仿宋" w:eastAsia="仿宋_GB2312" w:cs="宋体"/>
                <w:kern w:val="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jc w:val="center"/>
        </w:trPr>
        <w:tc>
          <w:tcPr>
            <w:tcW w:w="634"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6</w:t>
            </w:r>
          </w:p>
        </w:tc>
        <w:tc>
          <w:tcPr>
            <w:tcW w:w="1920"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学生</w:t>
            </w:r>
            <w:r>
              <w:rPr>
                <w:rFonts w:hint="eastAsia" w:ascii="仿宋_GB2312" w:hAnsi="仿宋" w:eastAsia="仿宋_GB2312" w:cs="宋体"/>
                <w:kern w:val="0"/>
                <w:sz w:val="21"/>
                <w:szCs w:val="21"/>
                <w:lang w:val="en-US" w:eastAsia="zh-CN"/>
              </w:rPr>
              <w:t>岗位</w:t>
            </w:r>
            <w:r>
              <w:rPr>
                <w:rFonts w:hint="eastAsia" w:ascii="仿宋_GB2312" w:hAnsi="仿宋" w:eastAsia="仿宋_GB2312" w:cs="宋体"/>
                <w:kern w:val="0"/>
                <w:sz w:val="21"/>
                <w:szCs w:val="21"/>
              </w:rPr>
              <w:t>实习安全责任书</w:t>
            </w:r>
          </w:p>
        </w:tc>
        <w:tc>
          <w:tcPr>
            <w:tcW w:w="1080"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学生</w:t>
            </w:r>
          </w:p>
        </w:tc>
        <w:tc>
          <w:tcPr>
            <w:tcW w:w="876"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指导教师</w:t>
            </w:r>
          </w:p>
        </w:tc>
        <w:tc>
          <w:tcPr>
            <w:tcW w:w="894" w:type="dxa"/>
            <w:vAlign w:val="center"/>
          </w:tcPr>
          <w:p>
            <w:pPr>
              <w:widowControl/>
              <w:spacing w:line="260" w:lineRule="exact"/>
              <w:jc w:val="center"/>
              <w:rPr>
                <w:rFonts w:ascii="仿宋_GB2312" w:hAnsi="仿宋" w:eastAsia="仿宋_GB2312" w:cs="宋体"/>
                <w:kern w:val="0"/>
                <w:sz w:val="21"/>
                <w:szCs w:val="21"/>
              </w:rPr>
            </w:pPr>
          </w:p>
        </w:tc>
        <w:tc>
          <w:tcPr>
            <w:tcW w:w="795"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3397" w:type="dxa"/>
            <w:vAlign w:val="center"/>
          </w:tcPr>
          <w:p>
            <w:pPr>
              <w:widowControl/>
              <w:spacing w:line="260" w:lineRule="exact"/>
              <w:jc w:val="both"/>
              <w:rPr>
                <w:rFonts w:hint="eastAsia" w:ascii="仿宋_GB2312" w:hAnsi="仿宋" w:eastAsia="仿宋_GB2312" w:cs="宋体"/>
                <w:kern w:val="0"/>
                <w:sz w:val="21"/>
                <w:szCs w:val="21"/>
                <w:lang w:eastAsia="zh-CN"/>
              </w:rPr>
            </w:pPr>
            <w:r>
              <w:rPr>
                <w:rFonts w:hint="eastAsia" w:ascii="仿宋_GB2312" w:hAnsi="仿宋" w:eastAsia="仿宋_GB2312" w:cs="宋体"/>
                <w:kern w:val="0"/>
                <w:sz w:val="21"/>
                <w:szCs w:val="21"/>
                <w:lang w:val="en-US" w:eastAsia="zh-CN"/>
              </w:rPr>
              <w:t>提</w:t>
            </w:r>
            <w:r>
              <w:rPr>
                <w:rFonts w:hint="eastAsia" w:ascii="仿宋_GB2312" w:hAnsi="仿宋" w:eastAsia="仿宋_GB2312" w:cs="宋体"/>
                <w:kern w:val="0"/>
                <w:sz w:val="21"/>
                <w:szCs w:val="21"/>
              </w:rPr>
              <w:t>交</w:t>
            </w:r>
            <w:r>
              <w:rPr>
                <w:rFonts w:hint="eastAsia" w:ascii="仿宋_GB2312" w:hAnsi="仿宋" w:eastAsia="仿宋_GB2312" w:cs="宋体"/>
                <w:kern w:val="0"/>
                <w:sz w:val="21"/>
                <w:szCs w:val="21"/>
                <w:lang w:val="en-US" w:eastAsia="zh-CN"/>
              </w:rPr>
              <w:t>PDF扫描电子版(清晰规范)，</w:t>
            </w:r>
            <w:r>
              <w:rPr>
                <w:rFonts w:hint="eastAsia" w:ascii="仿宋_GB2312" w:hAnsi="仿宋" w:eastAsia="仿宋_GB2312" w:cs="宋体"/>
                <w:b/>
                <w:bCs/>
                <w:kern w:val="0"/>
                <w:sz w:val="21"/>
                <w:szCs w:val="21"/>
                <w:lang w:val="en-US" w:eastAsia="zh-CN"/>
              </w:rPr>
              <w:t>学生提交电子文档统一命名：学号+学生姓名+班级+实习安全责任书</w:t>
            </w:r>
            <w:r>
              <w:rPr>
                <w:rFonts w:hint="eastAsia" w:ascii="仿宋_GB2312" w:hAnsi="仿宋" w:eastAsia="仿宋_GB2312" w:cs="宋体"/>
                <w:kern w:val="0"/>
                <w:sz w:val="21"/>
                <w:szCs w:val="21"/>
                <w:lang w:val="en-US" w:eastAsia="zh-CN"/>
              </w:rPr>
              <w:t>，各专业以班级为单位收集汇总交二级学院存档，</w:t>
            </w:r>
            <w:r>
              <w:rPr>
                <w:rFonts w:ascii="仿宋_GB2312" w:hAnsi="仿宋" w:eastAsia="仿宋_GB2312" w:cs="宋体"/>
                <w:kern w:val="0"/>
                <w:sz w:val="21"/>
                <w:szCs w:val="21"/>
              </w:rPr>
              <w:t xml:space="preserve"> </w:t>
            </w:r>
            <w:r>
              <w:rPr>
                <w:rFonts w:hint="eastAsia" w:ascii="仿宋_GB2312" w:hAnsi="仿宋" w:eastAsia="仿宋_GB2312" w:cs="宋体"/>
                <w:kern w:val="0"/>
                <w:sz w:val="21"/>
                <w:szCs w:val="21"/>
              </w:rPr>
              <w:t>实习前完成</w:t>
            </w:r>
            <w:r>
              <w:rPr>
                <w:rFonts w:hint="eastAsia" w:ascii="仿宋_GB2312" w:hAnsi="仿宋" w:eastAsia="仿宋_GB2312" w:cs="宋体"/>
                <w:kern w:val="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9" w:hRule="atLeast"/>
          <w:jc w:val="center"/>
        </w:trPr>
        <w:tc>
          <w:tcPr>
            <w:tcW w:w="634"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7</w:t>
            </w:r>
          </w:p>
        </w:tc>
        <w:tc>
          <w:tcPr>
            <w:tcW w:w="1920"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实习考核鉴定表</w:t>
            </w:r>
          </w:p>
        </w:tc>
        <w:tc>
          <w:tcPr>
            <w:tcW w:w="1080"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学生</w:t>
            </w:r>
          </w:p>
        </w:tc>
        <w:tc>
          <w:tcPr>
            <w:tcW w:w="876"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指导教师</w:t>
            </w:r>
          </w:p>
        </w:tc>
        <w:tc>
          <w:tcPr>
            <w:tcW w:w="894"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795"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3397" w:type="dxa"/>
            <w:vAlign w:val="center"/>
          </w:tcPr>
          <w:p>
            <w:pPr>
              <w:widowControl/>
              <w:spacing w:line="260" w:lineRule="exact"/>
              <w:jc w:val="both"/>
              <w:rPr>
                <w:rFonts w:hint="default" w:ascii="仿宋_GB2312" w:hAnsi="仿宋" w:eastAsia="仿宋_GB2312" w:cs="宋体"/>
                <w:kern w:val="0"/>
                <w:sz w:val="21"/>
                <w:szCs w:val="21"/>
                <w:lang w:val="en-US"/>
              </w:rPr>
            </w:pPr>
            <w:r>
              <w:rPr>
                <w:rFonts w:hint="eastAsia" w:ascii="仿宋_GB2312" w:hAnsi="仿宋" w:eastAsia="仿宋_GB2312" w:cs="宋体"/>
                <w:kern w:val="0"/>
                <w:sz w:val="21"/>
                <w:szCs w:val="21"/>
                <w:lang w:val="en-US" w:eastAsia="zh-CN"/>
              </w:rPr>
              <w:t>提</w:t>
            </w:r>
            <w:r>
              <w:rPr>
                <w:rFonts w:hint="eastAsia" w:ascii="仿宋_GB2312" w:hAnsi="仿宋" w:eastAsia="仿宋_GB2312" w:cs="宋体"/>
                <w:kern w:val="0"/>
                <w:sz w:val="21"/>
                <w:szCs w:val="21"/>
              </w:rPr>
              <w:t>交</w:t>
            </w:r>
            <w:r>
              <w:rPr>
                <w:rFonts w:hint="eastAsia" w:ascii="仿宋_GB2312" w:hAnsi="仿宋" w:eastAsia="仿宋_GB2312" w:cs="宋体"/>
                <w:kern w:val="0"/>
                <w:sz w:val="21"/>
                <w:szCs w:val="21"/>
                <w:lang w:val="en-US" w:eastAsia="zh-CN"/>
              </w:rPr>
              <w:t>PDF扫描电子版(清晰规范齐全)，</w:t>
            </w:r>
            <w:r>
              <w:rPr>
                <w:rFonts w:hint="eastAsia" w:ascii="仿宋_GB2312" w:hAnsi="仿宋" w:eastAsia="仿宋_GB2312" w:cs="宋体"/>
                <w:kern w:val="0"/>
                <w:sz w:val="21"/>
                <w:szCs w:val="21"/>
              </w:rPr>
              <w:t>并上传</w:t>
            </w:r>
            <w:r>
              <w:rPr>
                <w:rFonts w:hint="eastAsia" w:ascii="仿宋_GB2312" w:hAnsi="仿宋" w:eastAsia="仿宋_GB2312" w:cs="宋体"/>
                <w:kern w:val="0"/>
                <w:sz w:val="21"/>
                <w:szCs w:val="21"/>
                <w:lang w:val="en-US" w:eastAsia="zh-CN"/>
              </w:rPr>
              <w:t>实习</w:t>
            </w:r>
            <w:r>
              <w:rPr>
                <w:rFonts w:hint="eastAsia" w:ascii="仿宋_GB2312" w:hAnsi="仿宋" w:eastAsia="仿宋_GB2312" w:cs="宋体"/>
                <w:kern w:val="0"/>
                <w:sz w:val="21"/>
                <w:szCs w:val="21"/>
              </w:rPr>
              <w:t>系统教师审核通过</w:t>
            </w:r>
            <w:r>
              <w:rPr>
                <w:rFonts w:hint="eastAsia" w:ascii="仿宋_GB2312" w:hAnsi="仿宋" w:eastAsia="仿宋_GB2312" w:cs="宋体"/>
                <w:kern w:val="0"/>
                <w:sz w:val="21"/>
                <w:szCs w:val="21"/>
                <w:lang w:eastAsia="zh-CN"/>
              </w:rPr>
              <w:t>。</w:t>
            </w:r>
            <w:r>
              <w:rPr>
                <w:rFonts w:hint="eastAsia" w:ascii="仿宋_GB2312" w:hAnsi="仿宋" w:eastAsia="仿宋_GB2312" w:cs="宋体"/>
                <w:b/>
                <w:bCs/>
                <w:kern w:val="0"/>
                <w:sz w:val="21"/>
                <w:szCs w:val="21"/>
                <w:lang w:val="en-US" w:eastAsia="zh-CN"/>
              </w:rPr>
              <w:t>学生提交电子文档统一命名：学号+学生姓名+班级+考核鉴定表，</w:t>
            </w:r>
            <w:r>
              <w:rPr>
                <w:rFonts w:hint="eastAsia" w:ascii="仿宋_GB2312" w:hAnsi="仿宋" w:eastAsia="仿宋_GB2312" w:cs="宋体"/>
                <w:kern w:val="0"/>
                <w:sz w:val="21"/>
                <w:szCs w:val="21"/>
                <w:lang w:val="en-US" w:eastAsia="zh-CN"/>
              </w:rPr>
              <w:t>各专业以班级为单位收集汇总交二级学院，再交教务处</w:t>
            </w:r>
            <w:r>
              <w:rPr>
                <w:rFonts w:ascii="仿宋_GB2312" w:hAnsi="仿宋" w:eastAsia="仿宋_GB2312" w:cs="宋体"/>
                <w:kern w:val="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9" w:hRule="atLeast"/>
          <w:jc w:val="center"/>
        </w:trPr>
        <w:tc>
          <w:tcPr>
            <w:tcW w:w="634"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8</w:t>
            </w:r>
          </w:p>
        </w:tc>
        <w:tc>
          <w:tcPr>
            <w:tcW w:w="1920"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毕业</w:t>
            </w:r>
            <w:r>
              <w:rPr>
                <w:rFonts w:hint="eastAsia" w:ascii="仿宋_GB2312" w:hAnsi="仿宋" w:eastAsia="仿宋_GB2312" w:cs="宋体"/>
                <w:kern w:val="0"/>
                <w:sz w:val="21"/>
                <w:szCs w:val="21"/>
                <w:lang w:val="en-US" w:eastAsia="zh-CN"/>
              </w:rPr>
              <w:t>调研报告、毕业</w:t>
            </w:r>
            <w:r>
              <w:rPr>
                <w:rFonts w:hint="eastAsia" w:ascii="仿宋_GB2312" w:hAnsi="仿宋" w:eastAsia="仿宋_GB2312" w:cs="宋体"/>
                <w:kern w:val="0"/>
                <w:sz w:val="21"/>
                <w:szCs w:val="21"/>
              </w:rPr>
              <w:t>设计成果及</w:t>
            </w:r>
            <w:r>
              <w:rPr>
                <w:rFonts w:hint="eastAsia" w:ascii="仿宋_GB2312" w:hAnsi="仿宋" w:eastAsia="仿宋_GB2312" w:cs="宋体"/>
                <w:kern w:val="0"/>
                <w:sz w:val="21"/>
                <w:szCs w:val="21"/>
                <w:lang w:val="en-US" w:eastAsia="zh-CN"/>
              </w:rPr>
              <w:t>毕业调研报告、毕业设计</w:t>
            </w:r>
            <w:r>
              <w:rPr>
                <w:rFonts w:hint="eastAsia" w:ascii="仿宋_GB2312" w:hAnsi="仿宋" w:eastAsia="仿宋_GB2312" w:cs="宋体"/>
                <w:kern w:val="0"/>
                <w:sz w:val="21"/>
                <w:szCs w:val="21"/>
              </w:rPr>
              <w:t>成果汇总表</w:t>
            </w:r>
          </w:p>
        </w:tc>
        <w:tc>
          <w:tcPr>
            <w:tcW w:w="1080" w:type="dxa"/>
            <w:vAlign w:val="center"/>
          </w:tcPr>
          <w:p>
            <w:pPr>
              <w:widowControl/>
              <w:spacing w:line="260" w:lineRule="exact"/>
              <w:jc w:val="left"/>
              <w:rPr>
                <w:rFonts w:hint="eastAsia" w:ascii="仿宋_GB2312" w:hAnsi="仿宋" w:eastAsia="仿宋_GB2312" w:cs="宋体"/>
                <w:kern w:val="0"/>
                <w:sz w:val="21"/>
                <w:szCs w:val="21"/>
              </w:rPr>
            </w:pPr>
            <w:r>
              <w:rPr>
                <w:rFonts w:hint="eastAsia" w:ascii="仿宋_GB2312" w:hAnsi="仿宋" w:eastAsia="仿宋_GB2312" w:cs="宋体"/>
                <w:kern w:val="0"/>
                <w:sz w:val="21"/>
                <w:szCs w:val="21"/>
              </w:rPr>
              <w:t>学生</w:t>
            </w:r>
          </w:p>
          <w:p>
            <w:pPr>
              <w:widowControl/>
              <w:spacing w:line="260" w:lineRule="exact"/>
              <w:jc w:val="left"/>
              <w:rPr>
                <w:rFonts w:hint="default" w:ascii="仿宋_GB2312" w:hAnsi="仿宋" w:eastAsia="仿宋_GB2312" w:cs="宋体"/>
                <w:kern w:val="0"/>
                <w:sz w:val="21"/>
                <w:szCs w:val="21"/>
                <w:lang w:val="en-US" w:eastAsia="zh-CN"/>
              </w:rPr>
            </w:pPr>
            <w:r>
              <w:rPr>
                <w:rFonts w:hint="eastAsia" w:ascii="仿宋_GB2312" w:hAnsi="仿宋" w:eastAsia="仿宋_GB2312" w:cs="宋体"/>
                <w:kern w:val="0"/>
                <w:sz w:val="21"/>
                <w:szCs w:val="21"/>
                <w:lang w:val="en-US" w:eastAsia="zh-CN"/>
              </w:rPr>
              <w:t>二级学院</w:t>
            </w:r>
          </w:p>
        </w:tc>
        <w:tc>
          <w:tcPr>
            <w:tcW w:w="876"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指导教师</w:t>
            </w:r>
          </w:p>
        </w:tc>
        <w:tc>
          <w:tcPr>
            <w:tcW w:w="894" w:type="dxa"/>
            <w:vAlign w:val="center"/>
          </w:tcPr>
          <w:p>
            <w:pPr>
              <w:widowControl/>
              <w:spacing w:line="260" w:lineRule="exact"/>
              <w:jc w:val="center"/>
              <w:rPr>
                <w:rFonts w:hint="default" w:ascii="仿宋_GB2312" w:hAnsi="仿宋" w:eastAsia="仿宋_GB2312" w:cs="宋体"/>
                <w:kern w:val="0"/>
                <w:sz w:val="21"/>
                <w:szCs w:val="21"/>
                <w:lang w:val="en-US" w:eastAsia="zh-CN"/>
              </w:rPr>
            </w:pPr>
          </w:p>
        </w:tc>
        <w:tc>
          <w:tcPr>
            <w:tcW w:w="795"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3397" w:type="dxa"/>
            <w:vAlign w:val="center"/>
          </w:tcPr>
          <w:p>
            <w:pPr>
              <w:widowControl/>
              <w:spacing w:line="260" w:lineRule="exact"/>
              <w:jc w:val="both"/>
              <w:rPr>
                <w:rFonts w:ascii="仿宋_GB2312" w:hAnsi="仿宋" w:eastAsia="仿宋_GB2312" w:cs="宋体"/>
                <w:kern w:val="0"/>
                <w:sz w:val="21"/>
                <w:szCs w:val="21"/>
              </w:rPr>
            </w:pPr>
            <w:r>
              <w:rPr>
                <w:rFonts w:hint="eastAsia" w:ascii="仿宋_GB2312" w:hAnsi="仿宋" w:eastAsia="仿宋_GB2312" w:cs="宋体"/>
                <w:kern w:val="0"/>
                <w:sz w:val="21"/>
                <w:szCs w:val="21"/>
                <w:lang w:val="en-US" w:eastAsia="zh-CN"/>
              </w:rPr>
              <w:t>提交电子版（需指导老师填写考核评价内容，给出成绩，并签字）</w:t>
            </w:r>
            <w:r>
              <w:rPr>
                <w:rFonts w:hint="eastAsia" w:ascii="仿宋_GB2312" w:hAnsi="仿宋" w:eastAsia="仿宋_GB2312" w:cs="宋体"/>
                <w:b/>
                <w:bCs/>
                <w:kern w:val="0"/>
                <w:sz w:val="21"/>
                <w:szCs w:val="21"/>
                <w:lang w:val="en-US" w:eastAsia="zh-CN"/>
              </w:rPr>
              <w:t>学生提交电子文档统一命名：学号+学生姓名+班级+题目，</w:t>
            </w:r>
            <w:r>
              <w:rPr>
                <w:rFonts w:hint="eastAsia" w:ascii="仿宋_GB2312" w:hAnsi="仿宋" w:eastAsia="仿宋_GB2312" w:cs="宋体"/>
                <w:kern w:val="0"/>
                <w:sz w:val="21"/>
                <w:szCs w:val="21"/>
                <w:lang w:val="en-US" w:eastAsia="zh-CN"/>
              </w:rPr>
              <w:t>同时提交汇总表，由各专业以班级为单位收集汇总交二级学院存档。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jc w:val="center"/>
        </w:trPr>
        <w:tc>
          <w:tcPr>
            <w:tcW w:w="634" w:type="dxa"/>
            <w:vAlign w:val="center"/>
          </w:tcPr>
          <w:p>
            <w:pPr>
              <w:widowControl/>
              <w:spacing w:line="260" w:lineRule="exact"/>
              <w:jc w:val="center"/>
              <w:rPr>
                <w:rFonts w:hint="eastAsia" w:ascii="仿宋_GB2312" w:hAnsi="仿宋" w:eastAsia="仿宋_GB2312" w:cs="宋体"/>
                <w:kern w:val="0"/>
                <w:sz w:val="21"/>
                <w:szCs w:val="21"/>
                <w:lang w:val="en-US" w:eastAsia="zh-CN"/>
              </w:rPr>
            </w:pPr>
            <w:r>
              <w:rPr>
                <w:rFonts w:hint="eastAsia" w:ascii="仿宋_GB2312" w:hAnsi="仿宋" w:eastAsia="仿宋_GB2312" w:cs="宋体"/>
                <w:kern w:val="0"/>
                <w:sz w:val="21"/>
                <w:szCs w:val="21"/>
                <w:lang w:val="en-US" w:eastAsia="zh-CN"/>
              </w:rPr>
              <w:t>9</w:t>
            </w:r>
          </w:p>
        </w:tc>
        <w:tc>
          <w:tcPr>
            <w:tcW w:w="1920" w:type="dxa"/>
            <w:vAlign w:val="center"/>
          </w:tcPr>
          <w:p>
            <w:pPr>
              <w:widowControl/>
              <w:spacing w:line="260" w:lineRule="exact"/>
              <w:jc w:val="left"/>
              <w:rPr>
                <w:rFonts w:hint="default" w:ascii="仿宋_GB2312" w:hAnsi="仿宋" w:eastAsia="仿宋_GB2312" w:cs="宋体"/>
                <w:kern w:val="0"/>
                <w:sz w:val="21"/>
                <w:szCs w:val="21"/>
                <w:lang w:val="en-US" w:eastAsia="zh-CN"/>
              </w:rPr>
            </w:pPr>
            <w:r>
              <w:rPr>
                <w:rFonts w:hint="eastAsia" w:ascii="仿宋_GB2312" w:hAnsi="仿宋" w:eastAsia="仿宋_GB2312" w:cs="宋体"/>
                <w:kern w:val="0"/>
                <w:sz w:val="21"/>
                <w:szCs w:val="21"/>
                <w:lang w:val="en-US" w:eastAsia="zh-CN"/>
              </w:rPr>
              <w:t>优秀毕业设计成果（或毕业调研报告、毕业论文）及优秀毕业成果汇总表</w:t>
            </w:r>
          </w:p>
        </w:tc>
        <w:tc>
          <w:tcPr>
            <w:tcW w:w="1080" w:type="dxa"/>
            <w:vAlign w:val="center"/>
          </w:tcPr>
          <w:p>
            <w:pPr>
              <w:widowControl/>
              <w:spacing w:line="260" w:lineRule="exact"/>
              <w:jc w:val="left"/>
              <w:rPr>
                <w:rFonts w:hint="default" w:ascii="仿宋_GB2312" w:hAnsi="仿宋" w:eastAsia="仿宋_GB2312" w:cs="宋体"/>
                <w:kern w:val="0"/>
                <w:sz w:val="21"/>
                <w:szCs w:val="21"/>
                <w:lang w:val="en-US" w:eastAsia="zh-CN"/>
              </w:rPr>
            </w:pPr>
            <w:r>
              <w:rPr>
                <w:rFonts w:hint="eastAsia" w:ascii="仿宋_GB2312" w:hAnsi="仿宋" w:eastAsia="仿宋_GB2312" w:cs="宋体"/>
                <w:kern w:val="0"/>
                <w:sz w:val="21"/>
                <w:szCs w:val="21"/>
                <w:lang w:val="en-US" w:eastAsia="zh-CN"/>
              </w:rPr>
              <w:t>二级学院</w:t>
            </w:r>
          </w:p>
        </w:tc>
        <w:tc>
          <w:tcPr>
            <w:tcW w:w="876" w:type="dxa"/>
            <w:vAlign w:val="center"/>
          </w:tcPr>
          <w:p>
            <w:pPr>
              <w:widowControl/>
              <w:spacing w:line="260" w:lineRule="exact"/>
              <w:jc w:val="left"/>
              <w:rPr>
                <w:rFonts w:hint="default" w:ascii="仿宋_GB2312" w:hAnsi="仿宋" w:eastAsia="仿宋_GB2312" w:cs="宋体"/>
                <w:kern w:val="0"/>
                <w:sz w:val="21"/>
                <w:szCs w:val="21"/>
                <w:lang w:val="en-US" w:eastAsia="zh-CN"/>
              </w:rPr>
            </w:pPr>
            <w:r>
              <w:rPr>
                <w:rFonts w:hint="eastAsia" w:ascii="仿宋_GB2312" w:hAnsi="仿宋" w:eastAsia="仿宋_GB2312" w:cs="宋体"/>
                <w:kern w:val="0"/>
                <w:sz w:val="21"/>
                <w:szCs w:val="21"/>
                <w:lang w:val="en-US" w:eastAsia="zh-CN"/>
              </w:rPr>
              <w:t>教务处</w:t>
            </w:r>
          </w:p>
        </w:tc>
        <w:tc>
          <w:tcPr>
            <w:tcW w:w="894" w:type="dxa"/>
            <w:vAlign w:val="center"/>
          </w:tcPr>
          <w:p>
            <w:pPr>
              <w:widowControl/>
              <w:spacing w:line="260" w:lineRule="exact"/>
              <w:jc w:val="center"/>
              <w:rPr>
                <w:rFonts w:hint="eastAsia"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795" w:type="dxa"/>
            <w:vAlign w:val="center"/>
          </w:tcPr>
          <w:p>
            <w:pPr>
              <w:widowControl/>
              <w:spacing w:line="260" w:lineRule="exact"/>
              <w:jc w:val="center"/>
              <w:rPr>
                <w:rFonts w:hint="eastAsia"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3397" w:type="dxa"/>
            <w:vAlign w:val="center"/>
          </w:tcPr>
          <w:p>
            <w:pPr>
              <w:widowControl/>
              <w:spacing w:line="260" w:lineRule="exact"/>
              <w:jc w:val="both"/>
              <w:rPr>
                <w:rFonts w:hint="default" w:ascii="仿宋_GB2312" w:hAnsi="仿宋" w:eastAsia="仿宋_GB2312" w:cs="宋体"/>
                <w:kern w:val="0"/>
                <w:sz w:val="21"/>
                <w:szCs w:val="21"/>
                <w:lang w:val="en-US" w:eastAsia="zh-CN"/>
              </w:rPr>
            </w:pPr>
            <w:r>
              <w:rPr>
                <w:rFonts w:hint="eastAsia" w:ascii="仿宋_GB2312" w:hAnsi="仿宋" w:eastAsia="仿宋_GB2312" w:cs="宋体"/>
                <w:kern w:val="0"/>
                <w:sz w:val="21"/>
                <w:szCs w:val="21"/>
                <w:lang w:val="en-US" w:eastAsia="zh-CN"/>
              </w:rPr>
              <w:t>提交</w:t>
            </w:r>
            <w:r>
              <w:rPr>
                <w:rFonts w:hint="eastAsia" w:ascii="仿宋_GB2312" w:hAnsi="仿宋" w:eastAsia="仿宋_GB2312" w:cs="宋体"/>
                <w:b/>
                <w:bCs/>
                <w:kern w:val="0"/>
                <w:sz w:val="21"/>
                <w:szCs w:val="21"/>
                <w:lang w:val="en-US" w:eastAsia="zh-CN"/>
              </w:rPr>
              <w:t>纸质版和电子版</w:t>
            </w:r>
            <w:r>
              <w:rPr>
                <w:rFonts w:hint="eastAsia" w:ascii="仿宋_GB2312" w:hAnsi="仿宋" w:eastAsia="仿宋_GB2312" w:cs="宋体"/>
                <w:kern w:val="0"/>
                <w:sz w:val="21"/>
                <w:szCs w:val="21"/>
                <w:lang w:val="en-US" w:eastAsia="zh-CN"/>
              </w:rPr>
              <w:t>（需指导老师填写考核评价内容，给出成绩，并签字），同时提交优秀毕业调研报告或毕业设计汇总表（电子版及纸质盖章版）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jc w:val="center"/>
        </w:trPr>
        <w:tc>
          <w:tcPr>
            <w:tcW w:w="634" w:type="dxa"/>
            <w:vAlign w:val="center"/>
          </w:tcPr>
          <w:p>
            <w:pPr>
              <w:widowControl/>
              <w:spacing w:line="260" w:lineRule="exact"/>
              <w:jc w:val="center"/>
              <w:rPr>
                <w:rFonts w:hint="default" w:ascii="仿宋_GB2312" w:hAnsi="仿宋" w:eastAsia="仿宋_GB2312" w:cs="宋体"/>
                <w:kern w:val="0"/>
                <w:sz w:val="21"/>
                <w:szCs w:val="21"/>
                <w:lang w:val="en-US" w:eastAsia="zh-CN"/>
              </w:rPr>
            </w:pPr>
            <w:r>
              <w:rPr>
                <w:rFonts w:hint="eastAsia" w:ascii="仿宋_GB2312" w:hAnsi="仿宋" w:eastAsia="仿宋_GB2312" w:cs="宋体"/>
                <w:kern w:val="0"/>
                <w:sz w:val="21"/>
                <w:szCs w:val="21"/>
                <w:lang w:val="en-US" w:eastAsia="zh-CN"/>
              </w:rPr>
              <w:t>10</w:t>
            </w:r>
          </w:p>
        </w:tc>
        <w:tc>
          <w:tcPr>
            <w:tcW w:w="1920" w:type="dxa"/>
            <w:vAlign w:val="center"/>
          </w:tcPr>
          <w:p>
            <w:pPr>
              <w:widowControl/>
              <w:spacing w:line="260" w:lineRule="exact"/>
              <w:jc w:val="left"/>
              <w:rPr>
                <w:rFonts w:hint="eastAsia" w:ascii="仿宋_GB2312" w:hAnsi="仿宋" w:eastAsia="仿宋_GB2312" w:cs="宋体"/>
                <w:kern w:val="0"/>
                <w:sz w:val="21"/>
                <w:szCs w:val="21"/>
              </w:rPr>
            </w:pPr>
            <w:r>
              <w:rPr>
                <w:rFonts w:hint="eastAsia" w:ascii="仿宋_GB2312" w:hAnsi="仿宋" w:eastAsia="仿宋_GB2312" w:cs="宋体"/>
                <w:kern w:val="0"/>
                <w:sz w:val="21"/>
                <w:szCs w:val="21"/>
                <w:lang w:val="en-US" w:eastAsia="zh-CN"/>
              </w:rPr>
              <w:t>校内、外教师指导毕业实习及毕业调研报告（设计）工作量统计表</w:t>
            </w:r>
          </w:p>
        </w:tc>
        <w:tc>
          <w:tcPr>
            <w:tcW w:w="1080" w:type="dxa"/>
            <w:vAlign w:val="center"/>
          </w:tcPr>
          <w:p>
            <w:pPr>
              <w:widowControl/>
              <w:spacing w:line="260" w:lineRule="exact"/>
              <w:jc w:val="left"/>
              <w:rPr>
                <w:rFonts w:hint="eastAsia" w:ascii="仿宋_GB2312" w:hAnsi="仿宋" w:eastAsia="仿宋_GB2312" w:cs="宋体"/>
                <w:kern w:val="0"/>
                <w:sz w:val="21"/>
                <w:szCs w:val="21"/>
              </w:rPr>
            </w:pPr>
            <w:r>
              <w:rPr>
                <w:rFonts w:hint="eastAsia" w:ascii="仿宋_GB2312" w:hAnsi="仿宋" w:eastAsia="仿宋_GB2312" w:cs="宋体"/>
                <w:kern w:val="0"/>
                <w:sz w:val="21"/>
                <w:szCs w:val="21"/>
              </w:rPr>
              <w:t>二级学院</w:t>
            </w:r>
          </w:p>
        </w:tc>
        <w:tc>
          <w:tcPr>
            <w:tcW w:w="876" w:type="dxa"/>
            <w:vAlign w:val="center"/>
          </w:tcPr>
          <w:p>
            <w:pPr>
              <w:widowControl/>
              <w:spacing w:line="260" w:lineRule="exact"/>
              <w:jc w:val="left"/>
              <w:rPr>
                <w:rFonts w:hint="eastAsia" w:ascii="仿宋_GB2312" w:hAnsi="仿宋" w:eastAsia="仿宋_GB2312" w:cs="宋体"/>
                <w:kern w:val="0"/>
                <w:sz w:val="21"/>
                <w:szCs w:val="21"/>
              </w:rPr>
            </w:pPr>
            <w:r>
              <w:rPr>
                <w:rFonts w:hint="eastAsia" w:ascii="仿宋_GB2312" w:hAnsi="仿宋" w:eastAsia="仿宋_GB2312" w:cs="宋体"/>
                <w:kern w:val="0"/>
                <w:sz w:val="21"/>
                <w:szCs w:val="21"/>
              </w:rPr>
              <w:t>教务处</w:t>
            </w:r>
          </w:p>
        </w:tc>
        <w:tc>
          <w:tcPr>
            <w:tcW w:w="894"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795"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3397" w:type="dxa"/>
            <w:vAlign w:val="center"/>
          </w:tcPr>
          <w:p>
            <w:pPr>
              <w:widowControl/>
              <w:spacing w:line="260" w:lineRule="exact"/>
              <w:jc w:val="both"/>
              <w:rPr>
                <w:rFonts w:hint="default" w:ascii="仿宋_GB2312" w:hAnsi="仿宋" w:eastAsia="仿宋_GB2312" w:cs="宋体"/>
                <w:kern w:val="0"/>
                <w:sz w:val="21"/>
                <w:szCs w:val="21"/>
                <w:lang w:val="en-US" w:eastAsia="zh-CN"/>
              </w:rPr>
            </w:pPr>
            <w:r>
              <w:rPr>
                <w:rFonts w:hint="eastAsia" w:ascii="仿宋_GB2312" w:hAnsi="仿宋" w:eastAsia="仿宋_GB2312" w:cs="宋体"/>
                <w:kern w:val="0"/>
                <w:sz w:val="21"/>
                <w:szCs w:val="21"/>
                <w:lang w:val="en-US" w:eastAsia="zh-CN"/>
              </w:rPr>
              <w:t>实习结束后，二级学院尽快核算提交核算初稿，待教务处核算确定后，再提交签字盖章版。</w:t>
            </w:r>
          </w:p>
          <w:p>
            <w:pPr>
              <w:widowControl/>
              <w:spacing w:line="260" w:lineRule="exact"/>
              <w:jc w:val="both"/>
              <w:rPr>
                <w:rFonts w:hint="eastAsia" w:ascii="仿宋_GB2312" w:hAnsi="仿宋" w:eastAsia="仿宋_GB2312" w:cs="宋体"/>
                <w:kern w:val="0"/>
                <w:sz w:val="21"/>
                <w:szCs w:val="21"/>
              </w:rPr>
            </w:pPr>
            <w:r>
              <w:rPr>
                <w:rFonts w:hint="eastAsia" w:ascii="仿宋_GB2312" w:hAnsi="仿宋" w:eastAsia="仿宋_GB2312" w:cs="宋体"/>
                <w:kern w:val="0"/>
                <w:sz w:val="21"/>
                <w:szCs w:val="21"/>
                <w:lang w:val="en-US" w:eastAsia="zh-CN"/>
              </w:rPr>
              <w:t>其中，</w:t>
            </w:r>
            <w:r>
              <w:rPr>
                <w:rFonts w:hint="eastAsia" w:ascii="仿宋_GB2312" w:hAnsi="仿宋" w:eastAsia="仿宋_GB2312" w:cs="宋体"/>
                <w:kern w:val="0"/>
                <w:sz w:val="21"/>
                <w:szCs w:val="21"/>
              </w:rPr>
              <w:t>计算校外指导教师工作量以其</w:t>
            </w:r>
            <w:r>
              <w:rPr>
                <w:rFonts w:hint="eastAsia" w:ascii="仿宋_GB2312" w:hAnsi="仿宋" w:eastAsia="仿宋_GB2312" w:cs="宋体"/>
                <w:kern w:val="0"/>
                <w:sz w:val="21"/>
                <w:szCs w:val="21"/>
                <w:lang w:val="en-US" w:eastAsia="zh-CN"/>
              </w:rPr>
              <w:t>提供的</w:t>
            </w:r>
            <w:r>
              <w:rPr>
                <w:rFonts w:hint="eastAsia" w:ascii="仿宋_GB2312" w:hAnsi="仿宋" w:eastAsia="仿宋_GB2312" w:cs="宋体"/>
                <w:kern w:val="0"/>
                <w:sz w:val="21"/>
                <w:szCs w:val="21"/>
              </w:rPr>
              <w:t>相关指导</w:t>
            </w:r>
            <w:r>
              <w:rPr>
                <w:rFonts w:hint="eastAsia" w:ascii="仿宋_GB2312" w:hAnsi="仿宋" w:eastAsia="仿宋_GB2312" w:cs="宋体"/>
                <w:kern w:val="0"/>
                <w:sz w:val="21"/>
                <w:szCs w:val="21"/>
                <w:lang w:val="en-US" w:eastAsia="zh-CN"/>
              </w:rPr>
              <w:t>材料</w:t>
            </w:r>
            <w:r>
              <w:rPr>
                <w:rFonts w:hint="eastAsia" w:ascii="仿宋_GB2312" w:hAnsi="仿宋" w:eastAsia="仿宋_GB2312" w:cs="宋体"/>
                <w:kern w:val="0"/>
                <w:sz w:val="21"/>
                <w:szCs w:val="21"/>
              </w:rPr>
              <w:t>为依据</w:t>
            </w:r>
          </w:p>
        </w:tc>
      </w:tr>
    </w:tbl>
    <w:p>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default" w:ascii="仿宋_GB2312" w:hAnsi="仿宋_GB2312" w:eastAsia="仿宋_GB2312" w:cs="仿宋_GB2312"/>
          <w:sz w:val="28"/>
          <w:szCs w:val="28"/>
          <w:lang w:val="en-US" w:eastAsia="zh-CN"/>
        </w:rPr>
      </w:pPr>
    </w:p>
    <w:sectPr>
      <w:footerReference r:id="rId5" w:type="first"/>
      <w:footerReference r:id="rId3" w:type="default"/>
      <w:footerReference r:id="rId4" w:type="even"/>
      <w:pgSz w:w="11906" w:h="16838"/>
      <w:pgMar w:top="1871" w:right="1474" w:bottom="1134" w:left="1588" w:header="851" w:footer="992" w:gutter="0"/>
      <w:cols w:space="425" w:num="1"/>
      <w:titlePg/>
      <w:docGrid w:type="lines" w:linePitch="6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roma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Style w:val="11"/>
                            </w:rPr>
                          </w:pPr>
                          <w:r>
                            <w:rPr>
                              <w:rStyle w:val="11"/>
                            </w:rPr>
                            <w:fldChar w:fldCharType="begin"/>
                          </w:r>
                          <w:r>
                            <w:rPr>
                              <w:rStyle w:val="11"/>
                            </w:rPr>
                            <w:instrText xml:space="preserve">PAGE  </w:instrText>
                          </w:r>
                          <w:r>
                            <w:rPr>
                              <w:rStyle w:val="11"/>
                            </w:rPr>
                            <w:fldChar w:fldCharType="separate"/>
                          </w:r>
                          <w:r>
                            <w:rPr>
                              <w:rStyle w:val="11"/>
                            </w:rPr>
                            <w:t>2</w:t>
                          </w:r>
                          <w:r>
                            <w:rPr>
                              <w:rStyle w:val="1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Style w:val="11"/>
                      </w:rPr>
                    </w:pPr>
                    <w:r>
                      <w:rPr>
                        <w:rStyle w:val="11"/>
                      </w:rPr>
                      <w:fldChar w:fldCharType="begin"/>
                    </w:r>
                    <w:r>
                      <w:rPr>
                        <w:rStyle w:val="11"/>
                      </w:rPr>
                      <w:instrText xml:space="preserve">PAGE  </w:instrText>
                    </w:r>
                    <w:r>
                      <w:rPr>
                        <w:rStyle w:val="11"/>
                      </w:rPr>
                      <w:fldChar w:fldCharType="separate"/>
                    </w:r>
                    <w:r>
                      <w:rPr>
                        <w:rStyle w:val="11"/>
                      </w:rPr>
                      <w:t>2</w:t>
                    </w:r>
                    <w:r>
                      <w:rPr>
                        <w:rStyle w:val="1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0MGVmZGVkNmE4NTBlMGZhMzY4ZTlkZjc2Y2JhMWQifQ=="/>
  </w:docVars>
  <w:rsids>
    <w:rsidRoot w:val="69AB1541"/>
    <w:rsid w:val="02B01361"/>
    <w:rsid w:val="03FE7314"/>
    <w:rsid w:val="05047743"/>
    <w:rsid w:val="0600615C"/>
    <w:rsid w:val="08280A61"/>
    <w:rsid w:val="088A4403"/>
    <w:rsid w:val="0A886720"/>
    <w:rsid w:val="0AB3379D"/>
    <w:rsid w:val="0B025511"/>
    <w:rsid w:val="0B251D30"/>
    <w:rsid w:val="0B410C30"/>
    <w:rsid w:val="0CD96158"/>
    <w:rsid w:val="0CF54C03"/>
    <w:rsid w:val="0D006A41"/>
    <w:rsid w:val="0D85615B"/>
    <w:rsid w:val="0DC43F13"/>
    <w:rsid w:val="10E16920"/>
    <w:rsid w:val="11823EC9"/>
    <w:rsid w:val="1380268A"/>
    <w:rsid w:val="151439D2"/>
    <w:rsid w:val="1525173B"/>
    <w:rsid w:val="179949A3"/>
    <w:rsid w:val="180C6BE2"/>
    <w:rsid w:val="18AE7C99"/>
    <w:rsid w:val="18D32B6E"/>
    <w:rsid w:val="18DE3634"/>
    <w:rsid w:val="195C14A3"/>
    <w:rsid w:val="1C1F21E6"/>
    <w:rsid w:val="1C942349"/>
    <w:rsid w:val="1DDC0E05"/>
    <w:rsid w:val="1DE63121"/>
    <w:rsid w:val="1E0345E3"/>
    <w:rsid w:val="1FA140B4"/>
    <w:rsid w:val="1FBB33C8"/>
    <w:rsid w:val="20230F6D"/>
    <w:rsid w:val="21A954A2"/>
    <w:rsid w:val="23A3664D"/>
    <w:rsid w:val="24013373"/>
    <w:rsid w:val="243B4AD7"/>
    <w:rsid w:val="249661B1"/>
    <w:rsid w:val="251A389F"/>
    <w:rsid w:val="25C1468D"/>
    <w:rsid w:val="26EB5D3A"/>
    <w:rsid w:val="274E2D73"/>
    <w:rsid w:val="28011B94"/>
    <w:rsid w:val="292B0284"/>
    <w:rsid w:val="292F0982"/>
    <w:rsid w:val="29C76E0D"/>
    <w:rsid w:val="2A4B17EC"/>
    <w:rsid w:val="2A6D1762"/>
    <w:rsid w:val="2C73027B"/>
    <w:rsid w:val="2FD14254"/>
    <w:rsid w:val="334F4203"/>
    <w:rsid w:val="34B0623A"/>
    <w:rsid w:val="38896DA7"/>
    <w:rsid w:val="3AD030D5"/>
    <w:rsid w:val="3CC176EC"/>
    <w:rsid w:val="3E0734DF"/>
    <w:rsid w:val="3F6902F3"/>
    <w:rsid w:val="400718BA"/>
    <w:rsid w:val="457A2545"/>
    <w:rsid w:val="49033566"/>
    <w:rsid w:val="49DC7913"/>
    <w:rsid w:val="4B1A06F3"/>
    <w:rsid w:val="4B8F7333"/>
    <w:rsid w:val="4C0F5D7E"/>
    <w:rsid w:val="4FB96E6B"/>
    <w:rsid w:val="51DB0231"/>
    <w:rsid w:val="526F5493"/>
    <w:rsid w:val="53E2646E"/>
    <w:rsid w:val="55326D16"/>
    <w:rsid w:val="55B310B8"/>
    <w:rsid w:val="55E24C3D"/>
    <w:rsid w:val="57364374"/>
    <w:rsid w:val="582F42FE"/>
    <w:rsid w:val="588E2720"/>
    <w:rsid w:val="58A261CC"/>
    <w:rsid w:val="59681E86"/>
    <w:rsid w:val="59D81EA5"/>
    <w:rsid w:val="5A2C0443"/>
    <w:rsid w:val="5A2D1156"/>
    <w:rsid w:val="5B0C3575"/>
    <w:rsid w:val="5EE43F78"/>
    <w:rsid w:val="5F5024DD"/>
    <w:rsid w:val="61914D9C"/>
    <w:rsid w:val="62606EDB"/>
    <w:rsid w:val="62D2573C"/>
    <w:rsid w:val="63845E5A"/>
    <w:rsid w:val="651034F5"/>
    <w:rsid w:val="65896749"/>
    <w:rsid w:val="66233494"/>
    <w:rsid w:val="662F4E46"/>
    <w:rsid w:val="66A001EE"/>
    <w:rsid w:val="69A2561C"/>
    <w:rsid w:val="69AA215D"/>
    <w:rsid w:val="69AB1541"/>
    <w:rsid w:val="6A1A2066"/>
    <w:rsid w:val="6A58493C"/>
    <w:rsid w:val="6A646B46"/>
    <w:rsid w:val="6A8070AA"/>
    <w:rsid w:val="6AAE190A"/>
    <w:rsid w:val="6AD55F8D"/>
    <w:rsid w:val="6B83149A"/>
    <w:rsid w:val="6D4D7BFA"/>
    <w:rsid w:val="6DEF79E3"/>
    <w:rsid w:val="6E6D6DE0"/>
    <w:rsid w:val="6EED4B4F"/>
    <w:rsid w:val="705D4A5A"/>
    <w:rsid w:val="71760EBB"/>
    <w:rsid w:val="71CC00E9"/>
    <w:rsid w:val="720C73A9"/>
    <w:rsid w:val="76B771FE"/>
    <w:rsid w:val="76D31F1A"/>
    <w:rsid w:val="76D37824"/>
    <w:rsid w:val="77204A34"/>
    <w:rsid w:val="780B5F14"/>
    <w:rsid w:val="78434757"/>
    <w:rsid w:val="79945013"/>
    <w:rsid w:val="7B2E771F"/>
    <w:rsid w:val="7B801492"/>
    <w:rsid w:val="7C52149B"/>
    <w:rsid w:val="7F257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adjustRightInd w:val="0"/>
      <w:snapToGrid w:val="0"/>
      <w:spacing w:line="440" w:lineRule="exact"/>
      <w:jc w:val="center"/>
      <w:outlineLvl w:val="0"/>
    </w:pPr>
    <w:rPr>
      <w:rFonts w:ascii="楷体_GB2312" w:eastAsia="楷体_GB2312"/>
      <w:bCs/>
      <w:color w:val="000000"/>
      <w:kern w:val="44"/>
      <w:sz w:val="24"/>
      <w:szCs w:val="44"/>
    </w:rPr>
  </w:style>
  <w:style w:type="paragraph" w:styleId="3">
    <w:name w:val="heading 3"/>
    <w:basedOn w:val="1"/>
    <w:next w:val="1"/>
    <w:qFormat/>
    <w:uiPriority w:val="1"/>
    <w:pPr>
      <w:keepNext/>
      <w:keepLines/>
      <w:spacing w:before="260" w:after="260" w:line="416" w:lineRule="auto"/>
      <w:outlineLvl w:val="2"/>
    </w:pPr>
    <w:rPr>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pPr>
      <w:jc w:val="center"/>
    </w:pPr>
    <w:rPr>
      <w:rFonts w:eastAsia="方正小标宋简体"/>
      <w:sz w:val="44"/>
    </w:rPr>
  </w:style>
  <w:style w:type="paragraph" w:styleId="6">
    <w:name w:val="footer"/>
    <w:basedOn w:val="1"/>
    <w:unhideWhenUsed/>
    <w:qFormat/>
    <w:uiPriority w:val="0"/>
    <w:pPr>
      <w:tabs>
        <w:tab w:val="center" w:pos="4153"/>
        <w:tab w:val="right" w:pos="8306"/>
      </w:tabs>
      <w:snapToGrid w:val="0"/>
      <w:jc w:val="left"/>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8">
    <w:name w:val="Body Text First Indent"/>
    <w:basedOn w:val="5"/>
    <w:qFormat/>
    <w:uiPriority w:val="0"/>
    <w:pPr>
      <w:ind w:firstLine="420" w:firstLineChars="100"/>
    </w:pPr>
    <w:rPr>
      <w:rFonts w:ascii="Calibri" w:hAnsi="Calibri"/>
      <w:kern w:val="0"/>
      <w:sz w:val="20"/>
      <w:szCs w:val="20"/>
    </w:rPr>
  </w:style>
  <w:style w:type="character" w:styleId="11">
    <w:name w:val="page number"/>
    <w:basedOn w:val="10"/>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区教育局</Company>
  <Pages>1</Pages>
  <Words>0</Words>
  <Characters>0</Characters>
  <Lines>0</Lines>
  <Paragraphs>0</Paragraphs>
  <TotalTime>2</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2023-10-13T03:42:00Z</dcterms:created>
  <dc:creator>关飞红</dc:creator>
  <cp:lastModifiedBy>丁伟</cp:lastModifiedBy>
  <dcterms:modified xsi:type="dcterms:W3CDTF">2024-10-10T01:24:13Z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9A0B078528724B68B5027B1A6B982212_11</vt:lpwstr>
  </property>
</Properties>
</file>